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19F5D68C"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sidR="008A4216">
        <w:rPr>
          <w:rFonts w:ascii="Arial" w:hAnsi="Arial" w:cs="Arial"/>
          <w:b/>
          <w:noProof/>
          <w:sz w:val="24"/>
          <w:lang w:val="en-US"/>
        </w:rPr>
        <w:t>105</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4216">
        <w:rPr>
          <w:rFonts w:ascii="Arial" w:hAnsi="Arial" w:cs="Arial"/>
          <w:b/>
          <w:noProof/>
          <w:sz w:val="24"/>
          <w:lang w:val="en-US"/>
        </w:rPr>
        <w:t xml:space="preserve">      </w:t>
      </w:r>
      <w:r w:rsidR="004E45FA" w:rsidRPr="004E45FA">
        <w:rPr>
          <w:rFonts w:ascii="Arial" w:hAnsi="Arial" w:cs="Arial"/>
          <w:b/>
          <w:noProof/>
          <w:sz w:val="24"/>
          <w:lang w:val="en-US"/>
        </w:rPr>
        <w:t>R4-2218149</w:t>
      </w:r>
    </w:p>
    <w:p w14:paraId="50F6B86E" w14:textId="4E916885" w:rsidR="00913BDD" w:rsidRPr="00913BDD" w:rsidRDefault="008A4216" w:rsidP="00913BDD">
      <w:pPr>
        <w:tabs>
          <w:tab w:val="left" w:pos="1985"/>
        </w:tabs>
        <w:spacing w:after="120"/>
        <w:jc w:val="both"/>
        <w:rPr>
          <w:rFonts w:ascii="Arial" w:hAnsi="Arial" w:cs="Arial"/>
          <w:b/>
          <w:noProof/>
          <w:sz w:val="24"/>
          <w:lang w:val="en-US"/>
        </w:rPr>
      </w:pPr>
      <w:r>
        <w:rPr>
          <w:rFonts w:ascii="Arial" w:hAnsi="Arial" w:cs="Arial"/>
          <w:b/>
          <w:noProof/>
          <w:sz w:val="24"/>
          <w:lang w:val="en-US"/>
        </w:rPr>
        <w:t>Toulouse, France</w:t>
      </w:r>
      <w:r w:rsidR="00913BDD" w:rsidRPr="00913BDD">
        <w:rPr>
          <w:rFonts w:ascii="Arial" w:hAnsi="Arial" w:cs="Arial"/>
          <w:b/>
          <w:noProof/>
          <w:sz w:val="24"/>
          <w:lang w:val="en-US"/>
        </w:rPr>
        <w:t xml:space="preserve">, </w:t>
      </w:r>
      <w:r>
        <w:rPr>
          <w:rFonts w:ascii="Arial" w:hAnsi="Arial" w:cs="Arial"/>
          <w:b/>
          <w:noProof/>
          <w:sz w:val="24"/>
          <w:lang w:val="en-US"/>
        </w:rPr>
        <w:t>November</w:t>
      </w:r>
      <w:r w:rsidR="00913BDD" w:rsidRPr="00913BDD">
        <w:rPr>
          <w:rFonts w:ascii="Arial" w:hAnsi="Arial" w:cs="Arial"/>
          <w:b/>
          <w:noProof/>
          <w:sz w:val="24"/>
          <w:lang w:val="en-US"/>
        </w:rPr>
        <w:t xml:space="preserve"> 1</w:t>
      </w:r>
      <w:r>
        <w:rPr>
          <w:rFonts w:ascii="Arial" w:hAnsi="Arial" w:cs="Arial"/>
          <w:b/>
          <w:noProof/>
          <w:sz w:val="24"/>
          <w:lang w:val="en-US"/>
        </w:rPr>
        <w:t>4</w:t>
      </w:r>
      <w:r w:rsidR="00913BDD" w:rsidRPr="00913BDD">
        <w:rPr>
          <w:rFonts w:ascii="Arial" w:hAnsi="Arial" w:cs="Arial"/>
          <w:b/>
          <w:noProof/>
          <w:sz w:val="24"/>
          <w:lang w:val="en-US"/>
        </w:rPr>
        <w:t xml:space="preserve"> –</w:t>
      </w:r>
      <w:r>
        <w:rPr>
          <w:rFonts w:ascii="Arial" w:hAnsi="Arial" w:cs="Arial"/>
          <w:b/>
          <w:noProof/>
          <w:sz w:val="24"/>
          <w:lang w:val="en-US"/>
        </w:rPr>
        <w:t xml:space="preserve"> </w:t>
      </w:r>
      <w:r w:rsidR="00913BDD" w:rsidRPr="00913BDD">
        <w:rPr>
          <w:rFonts w:ascii="Arial" w:hAnsi="Arial" w:cs="Arial"/>
          <w:b/>
          <w:noProof/>
          <w:sz w:val="24"/>
          <w:lang w:val="en-US"/>
        </w:rPr>
        <w:t>1</w:t>
      </w:r>
      <w:r>
        <w:rPr>
          <w:rFonts w:ascii="Arial" w:hAnsi="Arial" w:cs="Arial"/>
          <w:b/>
          <w:noProof/>
          <w:sz w:val="24"/>
          <w:lang w:val="en-US"/>
        </w:rPr>
        <w:t>8</w:t>
      </w:r>
      <w:r w:rsidR="00913BDD" w:rsidRPr="00913BDD">
        <w:rPr>
          <w:rFonts w:ascii="Arial" w:hAnsi="Arial" w:cs="Arial"/>
          <w:b/>
          <w:noProof/>
          <w:sz w:val="24"/>
          <w:lang w:val="en-US"/>
        </w:rPr>
        <w:t>, 2022</w:t>
      </w:r>
    </w:p>
    <w:p w14:paraId="16FC7694" w14:textId="2C5F8C22"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5A696A">
        <w:rPr>
          <w:rFonts w:ascii="Arial" w:hAnsi="Arial" w:cs="Arial"/>
          <w:b/>
          <w:sz w:val="22"/>
          <w:szCs w:val="22"/>
        </w:rPr>
        <w:t>8.</w:t>
      </w:r>
      <w:r w:rsidR="00631513">
        <w:rPr>
          <w:rFonts w:ascii="Arial" w:hAnsi="Arial" w:cs="Arial"/>
          <w:b/>
          <w:sz w:val="22"/>
          <w:szCs w:val="22"/>
          <w:lang w:val="en-US"/>
        </w:rPr>
        <w:t>10.</w:t>
      </w:r>
      <w:r w:rsidR="005A696A">
        <w:rPr>
          <w:rFonts w:ascii="Arial" w:hAnsi="Arial" w:cs="Arial"/>
          <w:b/>
          <w:sz w:val="22"/>
          <w:szCs w:val="22"/>
          <w:lang w:val="en-US"/>
        </w:rPr>
        <w:t>2</w:t>
      </w:r>
      <w:r w:rsidR="00631513">
        <w:rPr>
          <w:rFonts w:ascii="Arial" w:hAnsi="Arial" w:cs="Arial"/>
          <w:b/>
          <w:sz w:val="22"/>
          <w:szCs w:val="22"/>
          <w:lang w:val="en-US"/>
        </w:rPr>
        <w:t>.</w:t>
      </w:r>
      <w:r w:rsidR="00F91BEB">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8B739C3"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364668" w:rsidRPr="00364668">
        <w:rPr>
          <w:rFonts w:ascii="Arial" w:hAnsi="Arial" w:cs="Arial"/>
          <w:b/>
          <w:sz w:val="22"/>
          <w:szCs w:val="22"/>
          <w:lang w:val="en-CN"/>
        </w:rPr>
        <w:t xml:space="preserve">On R18 gap enhancement case </w:t>
      </w:r>
      <w:r w:rsidR="00F91BEB">
        <w:rPr>
          <w:rFonts w:ascii="Arial" w:hAnsi="Arial" w:cs="Arial"/>
          <w:b/>
          <w:sz w:val="22"/>
          <w:szCs w:val="22"/>
          <w:lang w:val="en-US"/>
        </w:rPr>
        <w:t>2</w:t>
      </w:r>
      <w:r w:rsidR="00364668" w:rsidRPr="00364668">
        <w:rPr>
          <w:rFonts w:ascii="Arial" w:hAnsi="Arial" w:cs="Arial"/>
          <w:b/>
          <w:sz w:val="22"/>
          <w:szCs w:val="22"/>
          <w:lang w:val="en-CN"/>
        </w:rPr>
        <w:t xml:space="preserve"> requirements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2152C193" w:rsidR="00816A9A" w:rsidRDefault="001E0A5D" w:rsidP="00CA0B7B">
      <w:r>
        <w:rPr>
          <w:rFonts w:hint="eastAsia"/>
          <w:lang w:eastAsia="zh-CN"/>
        </w:rPr>
        <w:t>Cas</w:t>
      </w:r>
      <w:r>
        <w:rPr>
          <w:lang w:val="en-US" w:eastAsia="zh-CN"/>
        </w:rPr>
        <w:t xml:space="preserve">e </w:t>
      </w:r>
      <w:r w:rsidR="003A6D94">
        <w:rPr>
          <w:lang w:val="en-US" w:eastAsia="zh-CN"/>
        </w:rPr>
        <w:t>2</w:t>
      </w:r>
      <w:r>
        <w:rPr>
          <w:lang w:val="en-US" w:eastAsia="zh-CN"/>
        </w:rPr>
        <w:t xml:space="preserve"> requirements </w:t>
      </w:r>
      <w:r w:rsidR="00D972D0">
        <w:t>was widely discussed during the previous RAN4 meetings. The last agreements can be found in [1</w:t>
      </w:r>
      <w:r>
        <w:t xml:space="preserve">]. There are still quite many open items. In this contribution, we continue discussion on RRM requirement design for case </w:t>
      </w:r>
      <w:r w:rsidR="003B43F7">
        <w:t>2</w:t>
      </w:r>
      <w:r>
        <w: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60C658C" w14:textId="328E0489" w:rsidR="00E16FA2" w:rsidRDefault="00E16FA2" w:rsidP="00083194">
      <w:pPr>
        <w:rPr>
          <w:lang w:eastAsia="x-none"/>
        </w:rPr>
      </w:pPr>
      <w:r>
        <w:rPr>
          <w:lang w:eastAsia="x-none"/>
        </w:rPr>
        <w:t xml:space="preserve">The first issue we would like to discuss is about </w:t>
      </w:r>
      <w:r w:rsidR="00E42A87" w:rsidRPr="00E42A87">
        <w:rPr>
          <w:lang w:eastAsia="x-none"/>
        </w:rPr>
        <w:t>UE behavior upon gap collision</w:t>
      </w:r>
      <w:r>
        <w:rPr>
          <w:lang w:eastAsia="x-none"/>
        </w:rPr>
        <w:t>:</w:t>
      </w:r>
    </w:p>
    <w:tbl>
      <w:tblPr>
        <w:tblStyle w:val="TableGrid"/>
        <w:tblW w:w="0" w:type="auto"/>
        <w:tblLook w:val="04A0" w:firstRow="1" w:lastRow="0" w:firstColumn="1" w:lastColumn="0" w:noHBand="0" w:noVBand="1"/>
      </w:tblPr>
      <w:tblGrid>
        <w:gridCol w:w="9629"/>
      </w:tblGrid>
      <w:tr w:rsidR="00E42A87" w14:paraId="5BFE0C7F" w14:textId="77777777" w:rsidTr="00E42A87">
        <w:tc>
          <w:tcPr>
            <w:tcW w:w="9629" w:type="dxa"/>
          </w:tcPr>
          <w:p w14:paraId="555FD850" w14:textId="77777777" w:rsidR="00E42A87" w:rsidRDefault="00E42A87" w:rsidP="00E42A87">
            <w:pPr>
              <w:pStyle w:val="Heading2"/>
              <w:outlineLvl w:val="1"/>
              <w:rPr>
                <w:b/>
                <w:bCs/>
                <w:sz w:val="24"/>
                <w:szCs w:val="24"/>
              </w:rPr>
            </w:pPr>
            <w:r>
              <w:rPr>
                <w:b/>
                <w:bCs/>
                <w:sz w:val="24"/>
                <w:szCs w:val="24"/>
              </w:rPr>
              <w:t>Issue 2-21: [Case 2] Potential changes to UE behavior upon gap collision</w:t>
            </w:r>
          </w:p>
          <w:p w14:paraId="58FA5CD6" w14:textId="77777777" w:rsidR="00E42A87" w:rsidRDefault="00E42A87" w:rsidP="00E42A87">
            <w:pPr>
              <w:spacing w:afterLines="50" w:after="120"/>
              <w:ind w:leftChars="200" w:left="400"/>
              <w:rPr>
                <w:lang w:eastAsia="zh-CN"/>
              </w:rPr>
            </w:pPr>
            <w:r>
              <w:rPr>
                <w:b/>
                <w:lang w:eastAsia="zh-CN"/>
              </w:rPr>
              <w:t>&lt; Wayforward &gt;</w:t>
            </w:r>
            <w:r>
              <w:rPr>
                <w:lang w:eastAsia="zh-CN"/>
              </w:rPr>
              <w:t>: FFS the following options</w:t>
            </w:r>
          </w:p>
          <w:p w14:paraId="17C86D8A" w14:textId="77777777" w:rsidR="00E42A87" w:rsidRDefault="00E42A87" w:rsidP="00E42A87">
            <w:pPr>
              <w:numPr>
                <w:ilvl w:val="1"/>
                <w:numId w:val="30"/>
              </w:numPr>
              <w:spacing w:afterLines="50" w:after="120"/>
              <w:rPr>
                <w:rFonts w:eastAsia="PMingLiU"/>
                <w:szCs w:val="24"/>
                <w:lang w:eastAsia="zh-TW"/>
              </w:rPr>
            </w:pPr>
            <w:r>
              <w:rPr>
                <w:rFonts w:eastAsia="PMingLiU"/>
                <w:szCs w:val="24"/>
                <w:lang w:eastAsia="zh-TW"/>
              </w:rPr>
              <w:t xml:space="preserve">Option 1: When the MGL of concurrent gap or the activated pre-configured MG is overlapped with the ML of NCSG, or when VIL1/VIL2 of NCSG is overlapped with the MGL of concurrent gap or the activated pre-configured MG, if the impact on measurement performance due to RTT is negligible, UE can perform the measurements on the collided gaps simultaneously and no need to consider the dropping rule. </w:t>
            </w:r>
          </w:p>
          <w:p w14:paraId="7F1EFAE8" w14:textId="77777777" w:rsidR="00E42A87" w:rsidRDefault="00E42A87" w:rsidP="00E42A87">
            <w:pPr>
              <w:numPr>
                <w:ilvl w:val="1"/>
                <w:numId w:val="30"/>
              </w:numPr>
              <w:spacing w:afterLines="50" w:after="120"/>
              <w:rPr>
                <w:rFonts w:eastAsia="PMingLiU"/>
                <w:szCs w:val="24"/>
                <w:lang w:eastAsia="zh-TW"/>
              </w:rPr>
            </w:pPr>
            <w:r>
              <w:rPr>
                <w:rFonts w:eastAsia="PMingLiU"/>
                <w:szCs w:val="24"/>
                <w:lang w:eastAsia="zh-TW"/>
              </w:rPr>
              <w:t xml:space="preserve">Option 2: For the case that RRT of one NCSG pattern is overlapped with MGL of legacy MG, RRT may have impact on the measurement performed during MGL of legacy MG. It is proposed to further discuss how serious this impact is and how to solve this issue if the impact is not negligible. </w:t>
            </w:r>
          </w:p>
          <w:p w14:paraId="628C83D3" w14:textId="77777777" w:rsidR="00E42A87" w:rsidRDefault="00E42A87" w:rsidP="00E42A87">
            <w:pPr>
              <w:numPr>
                <w:ilvl w:val="1"/>
                <w:numId w:val="30"/>
              </w:numPr>
              <w:spacing w:afterLines="50" w:after="120"/>
              <w:rPr>
                <w:rFonts w:eastAsia="PMingLiU"/>
                <w:szCs w:val="24"/>
                <w:lang w:eastAsia="zh-TW"/>
              </w:rPr>
            </w:pPr>
            <w:r>
              <w:rPr>
                <w:rFonts w:eastAsia="PMingLiU"/>
                <w:szCs w:val="24"/>
                <w:lang w:eastAsia="zh-TW"/>
              </w:rPr>
              <w:t xml:space="preserve">Option 3: The collision handling can be further checked since in fact the gap  ancelling is not always necessary when collision happens since of the necessity of NCSG is per band for the UE capable of NCSG. </w:t>
            </w:r>
          </w:p>
          <w:p w14:paraId="43AA2512" w14:textId="77777777" w:rsidR="00E42A87" w:rsidRDefault="00E42A87" w:rsidP="00E42A87">
            <w:pPr>
              <w:numPr>
                <w:ilvl w:val="2"/>
                <w:numId w:val="30"/>
              </w:numPr>
              <w:spacing w:afterLines="50" w:after="120"/>
              <w:rPr>
                <w:rFonts w:eastAsia="PMingLiU"/>
                <w:szCs w:val="24"/>
                <w:lang w:eastAsia="zh-TW"/>
              </w:rPr>
            </w:pPr>
            <w:r>
              <w:rPr>
                <w:rFonts w:eastAsia="PMingLiU"/>
                <w:szCs w:val="24"/>
                <w:lang w:eastAsia="zh-TW"/>
              </w:rPr>
              <w:t>For the collision instance, if no MO needs NCSG, no need to cancel any one between NCSG and MG(NCSG);</w:t>
            </w:r>
          </w:p>
          <w:p w14:paraId="715D0132" w14:textId="77777777" w:rsidR="00E42A87" w:rsidRDefault="00E42A87" w:rsidP="00E42A87">
            <w:pPr>
              <w:numPr>
                <w:ilvl w:val="2"/>
                <w:numId w:val="30"/>
              </w:numPr>
              <w:spacing w:afterLines="50" w:after="120"/>
              <w:rPr>
                <w:rFonts w:eastAsia="PMingLiU"/>
                <w:szCs w:val="24"/>
                <w:lang w:eastAsia="zh-TW"/>
              </w:rPr>
            </w:pPr>
            <w:r>
              <w:rPr>
                <w:rFonts w:eastAsia="PMingLiU"/>
                <w:szCs w:val="24"/>
                <w:lang w:eastAsia="zh-TW"/>
              </w:rPr>
              <w:t xml:space="preserve">For the collision instance, if at least one MO needs NCSG, there are two possible solutions of collision handling: </w:t>
            </w:r>
          </w:p>
          <w:p w14:paraId="1803DD51" w14:textId="77777777" w:rsidR="00E42A87" w:rsidRDefault="00E42A87" w:rsidP="00E42A87">
            <w:pPr>
              <w:numPr>
                <w:ilvl w:val="3"/>
                <w:numId w:val="30"/>
              </w:numPr>
              <w:spacing w:afterLines="50" w:after="120"/>
              <w:rPr>
                <w:rFonts w:eastAsia="PMingLiU"/>
                <w:szCs w:val="24"/>
                <w:lang w:eastAsia="zh-TW"/>
              </w:rPr>
            </w:pPr>
            <w:r>
              <w:rPr>
                <w:rFonts w:eastAsia="PMingLiU"/>
                <w:szCs w:val="24"/>
                <w:lang w:eastAsia="zh-TW"/>
              </w:rPr>
              <w:t>keep both NCSG and MG(NCSG) at the price of NCSG degradation to legacy MG;</w:t>
            </w:r>
          </w:p>
          <w:p w14:paraId="674E3388" w14:textId="77777777" w:rsidR="00E42A87" w:rsidRDefault="00E42A87" w:rsidP="00E42A87">
            <w:pPr>
              <w:numPr>
                <w:ilvl w:val="3"/>
                <w:numId w:val="30"/>
              </w:numPr>
              <w:spacing w:afterLines="50" w:after="120"/>
              <w:rPr>
                <w:rFonts w:eastAsia="PMingLiU"/>
                <w:szCs w:val="24"/>
                <w:lang w:eastAsia="zh-TW"/>
              </w:rPr>
            </w:pPr>
            <w:r>
              <w:rPr>
                <w:rFonts w:eastAsia="PMingLiU"/>
                <w:szCs w:val="24"/>
                <w:lang w:eastAsia="zh-TW"/>
              </w:rPr>
              <w:t>Cancel the MG or the lower priority of NCSG.</w:t>
            </w:r>
          </w:p>
          <w:p w14:paraId="3E1BD0B5" w14:textId="77777777" w:rsidR="00E42A87" w:rsidRDefault="00E42A87" w:rsidP="00E42A87">
            <w:pPr>
              <w:numPr>
                <w:ilvl w:val="2"/>
                <w:numId w:val="30"/>
              </w:numPr>
              <w:spacing w:afterLines="50" w:after="120"/>
              <w:rPr>
                <w:rFonts w:eastAsia="PMingLiU"/>
                <w:szCs w:val="24"/>
                <w:lang w:eastAsia="zh-TW"/>
              </w:rPr>
            </w:pPr>
            <w:r>
              <w:rPr>
                <w:rFonts w:eastAsia="PMingLiU"/>
                <w:szCs w:val="24"/>
                <w:lang w:eastAsia="zh-TW"/>
              </w:rPr>
              <w:t>Which solution should be applied, it can be decided by the priority order. If the NCSG has higher priority than MG, then cancel the MG; Otherwise, neither of them would be canceled but at the price of NCSG degradation to MG.</w:t>
            </w:r>
          </w:p>
          <w:p w14:paraId="152C351B" w14:textId="2DC4DE08" w:rsidR="00E42A87" w:rsidRPr="00E42A87" w:rsidRDefault="00E42A87" w:rsidP="00DA467C">
            <w:pPr>
              <w:numPr>
                <w:ilvl w:val="1"/>
                <w:numId w:val="30"/>
              </w:numPr>
              <w:spacing w:afterLines="50" w:after="120"/>
              <w:rPr>
                <w:lang w:eastAsia="zh-CN"/>
              </w:rPr>
            </w:pPr>
            <w:r>
              <w:rPr>
                <w:rFonts w:eastAsia="PMingLiU"/>
                <w:szCs w:val="24"/>
                <w:lang w:eastAsia="zh-TW"/>
              </w:rPr>
              <w:t>Option 4: RAN4 not to consider enhanced requirements for collision handling</w:t>
            </w:r>
          </w:p>
        </w:tc>
      </w:tr>
    </w:tbl>
    <w:p w14:paraId="61E2C9AF" w14:textId="16427CCE" w:rsidR="00FE0601" w:rsidRDefault="00FE0601" w:rsidP="00DA467C">
      <w:pPr>
        <w:rPr>
          <w:lang w:val="en-US" w:eastAsia="zh-CN"/>
        </w:rPr>
      </w:pPr>
      <w:r>
        <w:rPr>
          <w:lang w:val="en-US" w:eastAsia="zh-CN"/>
        </w:rPr>
        <w:t>It seems option 1</w:t>
      </w:r>
      <w:r w:rsidR="00274774">
        <w:rPr>
          <w:lang w:val="en-US" w:eastAsia="zh-CN"/>
        </w:rPr>
        <w:t xml:space="preserve"> and 2</w:t>
      </w:r>
      <w:r>
        <w:rPr>
          <w:lang w:val="en-US" w:eastAsia="zh-CN"/>
        </w:rPr>
        <w:t xml:space="preserve"> require UE to perform RRM measurement on multiple carriers simultaneously within NCSG and another (Pre-)MG. However, this violates the assumption in R17 NCSG design. In R17 NCSG design, not only availability of vacant RF chain, but also baseband restriction like searcher limitation and gap scheduling are considered. </w:t>
      </w:r>
    </w:p>
    <w:p w14:paraId="5750F5CF" w14:textId="5FC9C180" w:rsidR="00DA467C" w:rsidRDefault="006A5884" w:rsidP="00DA467C">
      <w:pPr>
        <w:rPr>
          <w:lang w:val="en-US" w:eastAsia="zh-CN"/>
        </w:rPr>
      </w:pPr>
      <w:r w:rsidRPr="006A5884">
        <w:rPr>
          <w:noProof/>
          <w:lang w:val="en-US" w:eastAsia="zh-CN"/>
        </w:rPr>
        <w:lastRenderedPageBreak/>
        <w:drawing>
          <wp:inline distT="0" distB="0" distL="0" distR="0" wp14:anchorId="5A112EDB" wp14:editId="5684A3A9">
            <wp:extent cx="6120765" cy="1170940"/>
            <wp:effectExtent l="0" t="0" r="635"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8"/>
                    <a:stretch>
                      <a:fillRect/>
                    </a:stretch>
                  </pic:blipFill>
                  <pic:spPr>
                    <a:xfrm>
                      <a:off x="0" y="0"/>
                      <a:ext cx="6120765" cy="1170940"/>
                    </a:xfrm>
                    <a:prstGeom prst="rect">
                      <a:avLst/>
                    </a:prstGeom>
                  </pic:spPr>
                </pic:pic>
              </a:graphicData>
            </a:graphic>
          </wp:inline>
        </w:drawing>
      </w:r>
      <w:r w:rsidR="00FE0601">
        <w:rPr>
          <w:lang w:val="en-US" w:eastAsia="zh-CN"/>
        </w:rPr>
        <w:t xml:space="preserve"> </w:t>
      </w:r>
    </w:p>
    <w:p w14:paraId="11481611" w14:textId="7E5514FF" w:rsidR="00ED3E51" w:rsidRDefault="00ED3E51" w:rsidP="00ED3E51">
      <w:pPr>
        <w:pStyle w:val="Caption"/>
        <w:jc w:val="center"/>
        <w:rPr>
          <w:lang w:val="en-US" w:eastAsia="zh-CN"/>
        </w:rPr>
      </w:pPr>
      <w:r>
        <w:t xml:space="preserve">Figure </w:t>
      </w:r>
      <w:r>
        <w:fldChar w:fldCharType="begin"/>
      </w:r>
      <w:r>
        <w:instrText xml:space="preserve"> SEQ Figure \* ARABIC </w:instrText>
      </w:r>
      <w:r>
        <w:fldChar w:fldCharType="separate"/>
      </w:r>
      <w:r w:rsidR="00DD101E">
        <w:rPr>
          <w:noProof/>
        </w:rPr>
        <w:t>1</w:t>
      </w:r>
      <w:r>
        <w:fldChar w:fldCharType="end"/>
      </w:r>
      <w:r>
        <w:t xml:space="preserve"> R17 NCSG - SMTC is fully covered by ML</w:t>
      </w:r>
    </w:p>
    <w:p w14:paraId="6A9B5667" w14:textId="7C0388F9" w:rsidR="00ED3E51" w:rsidRDefault="00ED3E51" w:rsidP="00DA467C">
      <w:pPr>
        <w:rPr>
          <w:lang w:val="en-US" w:eastAsia="zh-CN"/>
        </w:rPr>
      </w:pPr>
      <w:r>
        <w:rPr>
          <w:lang w:val="en-US" w:eastAsia="zh-CN"/>
        </w:rPr>
        <w:t>In above example, UE serving cell is on band A. UE support NCSG for both band A and B. Even though UE has a vacant RF chain which can be used for measuring neighbor band B, UE is not required to measured band A and B simultaneously.</w:t>
      </w:r>
      <w:r w:rsidR="0085184D">
        <w:rPr>
          <w:lang w:val="en-US" w:eastAsia="zh-CN"/>
        </w:rPr>
        <w:t xml:space="preserve"> This can be observed in NCSG CSSF design:</w:t>
      </w:r>
    </w:p>
    <w:tbl>
      <w:tblPr>
        <w:tblStyle w:val="TableGrid"/>
        <w:tblW w:w="0" w:type="auto"/>
        <w:tblLook w:val="04A0" w:firstRow="1" w:lastRow="0" w:firstColumn="1" w:lastColumn="0" w:noHBand="0" w:noVBand="1"/>
      </w:tblPr>
      <w:tblGrid>
        <w:gridCol w:w="9629"/>
      </w:tblGrid>
      <w:tr w:rsidR="0085184D" w14:paraId="148CA851" w14:textId="77777777" w:rsidTr="0085184D">
        <w:tc>
          <w:tcPr>
            <w:tcW w:w="9629" w:type="dxa"/>
          </w:tcPr>
          <w:p w14:paraId="7321D888" w14:textId="77777777" w:rsidR="0085184D" w:rsidRPr="009C5807" w:rsidRDefault="0085184D" w:rsidP="0085184D">
            <w:pPr>
              <w:pStyle w:val="Heading5"/>
              <w:outlineLvl w:val="4"/>
            </w:pPr>
            <w:r w:rsidRPr="009C5807">
              <w:t>9.1.5</w:t>
            </w:r>
            <w:r>
              <w:t>.3</w:t>
            </w:r>
            <w:r w:rsidRPr="009C5807">
              <w:t>.</w:t>
            </w:r>
            <w:r>
              <w:t>1</w:t>
            </w:r>
            <w:r w:rsidRPr="009C5807">
              <w:tab/>
            </w:r>
            <w:r w:rsidRPr="003362AA">
              <w:t xml:space="preserve">SA mode: carrier-specific scaling factor for measurements performed within </w:t>
            </w:r>
            <w:r>
              <w:t>NCSG</w:t>
            </w:r>
          </w:p>
          <w:p w14:paraId="747CC094" w14:textId="77777777" w:rsidR="0085184D" w:rsidRDefault="0085184D" w:rsidP="0085184D">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r>
              <w:rPr>
                <w:vertAlign w:val="subscript"/>
              </w:rPr>
              <w:t>ncsg</w:t>
            </w:r>
            <w:r w:rsidRPr="00DC058A">
              <w:rPr>
                <w:vertAlign w:val="subscript"/>
              </w:rPr>
              <w:t>,i</w:t>
            </w:r>
            <w:r w:rsidRPr="00DC058A">
              <w:t xml:space="preserve"> and is derived as described in this clause.</w:t>
            </w:r>
          </w:p>
          <w:p w14:paraId="70F4F29C" w14:textId="77777777" w:rsidR="0085184D" w:rsidRPr="002B4D79" w:rsidRDefault="0085184D" w:rsidP="0085184D">
            <w:pPr>
              <w:rPr>
                <w:noProof/>
              </w:rPr>
            </w:pPr>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p>
          <w:p w14:paraId="000C4CD4" w14:textId="77777777" w:rsidR="0085184D" w:rsidRDefault="0085184D" w:rsidP="0085184D">
            <w:pPr>
              <w:pStyle w:val="B1"/>
            </w:pPr>
            <w:r w:rsidRPr="008618B6">
              <w:rPr>
                <w:noProof/>
              </w:rPr>
              <w:t>-</w:t>
            </w:r>
            <w:r w:rsidRPr="008618B6">
              <w:rPr>
                <w:noProof/>
              </w:rPr>
              <w:tab/>
            </w:r>
            <w:r w:rsidRPr="0085184D">
              <w:rPr>
                <w:noProof/>
                <w:highlight w:val="yellow"/>
              </w:rPr>
              <w:t>An NR measurement object with SSB</w:t>
            </w:r>
            <w:r w:rsidRPr="0085184D" w:rsidDel="009571A0">
              <w:rPr>
                <w:noProof/>
                <w:highlight w:val="yellow"/>
              </w:rPr>
              <w:t xml:space="preserve"> </w:t>
            </w:r>
            <w:r w:rsidRPr="0085184D">
              <w:rPr>
                <w:noProof/>
                <w:highlight w:val="yellow"/>
              </w:rPr>
              <w:t>measurement configured is a candidate to be measured in an NCSG occasion if its SMTC duration is fully covered by the 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2EC01C2" w14:textId="77777777" w:rsidR="0085184D" w:rsidRPr="008618B6" w:rsidRDefault="0085184D" w:rsidP="0085184D">
            <w:pPr>
              <w:pStyle w:val="B1"/>
              <w:rPr>
                <w:noProof/>
              </w:rPr>
            </w:pPr>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p>
          <w:p w14:paraId="630C57C7" w14:textId="77777777" w:rsidR="0085184D" w:rsidRPr="003362AA" w:rsidRDefault="0085184D" w:rsidP="0085184D">
            <w:pPr>
              <w:pStyle w:val="B1"/>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1BD6A535" w14:textId="07B84E77" w:rsidR="0085184D" w:rsidRPr="0085184D" w:rsidRDefault="0085184D" w:rsidP="0085184D">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tc>
      </w:tr>
    </w:tbl>
    <w:p w14:paraId="2EAAA0D5" w14:textId="034CE884" w:rsidR="0085184D" w:rsidRDefault="0085184D" w:rsidP="00DA467C">
      <w:pPr>
        <w:rPr>
          <w:lang w:val="en-US" w:eastAsia="zh-CN"/>
        </w:rPr>
      </w:pPr>
      <w:r>
        <w:rPr>
          <w:lang w:val="en-US" w:eastAsia="zh-CN"/>
        </w:rPr>
        <w:t xml:space="preserve">For this case, </w:t>
      </w:r>
      <w:r w:rsidRPr="003362AA">
        <w:rPr>
          <w:noProof/>
        </w:rPr>
        <w:t>M</w:t>
      </w:r>
      <w:r w:rsidRPr="003362AA">
        <w:rPr>
          <w:noProof/>
          <w:vertAlign w:val="subscript"/>
        </w:rPr>
        <w:t>intra,i,j</w:t>
      </w:r>
      <w:r>
        <w:rPr>
          <w:lang w:val="en-US" w:eastAsia="zh-CN"/>
        </w:rPr>
        <w:t xml:space="preserve"> = 1 and </w:t>
      </w:r>
      <w:r w:rsidRPr="002B4D79">
        <w:rPr>
          <w:noProof/>
        </w:rPr>
        <w:t>M</w:t>
      </w:r>
      <w:r w:rsidRPr="002B4D79">
        <w:rPr>
          <w:noProof/>
          <w:vertAlign w:val="subscript"/>
        </w:rPr>
        <w:t xml:space="preserve">inter,i,j </w:t>
      </w:r>
      <w:r>
        <w:rPr>
          <w:lang w:val="en-US" w:eastAsia="zh-CN"/>
        </w:rPr>
        <w:t>= 1. Thus CSSF = 2.</w:t>
      </w:r>
    </w:p>
    <w:p w14:paraId="3880C753" w14:textId="03D20B5B" w:rsidR="006A5884" w:rsidRDefault="006A5884" w:rsidP="00DA467C">
      <w:pPr>
        <w:rPr>
          <w:lang w:val="en-US" w:eastAsia="zh-CN"/>
        </w:rPr>
      </w:pPr>
      <w:r>
        <w:rPr>
          <w:lang w:val="en-US" w:eastAsia="zh-CN"/>
        </w:rPr>
        <w:t>Similarly, when SMTC on band A is partially covered by ML, UE is not required to perform measurement on band A and B simultaneously. In fact, UE would measure band A outside NCSG.</w:t>
      </w:r>
    </w:p>
    <w:p w14:paraId="06B903DD" w14:textId="7F01D05D" w:rsidR="006A5884" w:rsidRDefault="006A5884" w:rsidP="00DA467C">
      <w:pPr>
        <w:rPr>
          <w:lang w:val="en-US" w:eastAsia="zh-CN"/>
        </w:rPr>
      </w:pPr>
      <w:r w:rsidRPr="006A5884">
        <w:rPr>
          <w:noProof/>
          <w:lang w:val="en-US" w:eastAsia="zh-CN"/>
        </w:rPr>
        <w:drawing>
          <wp:inline distT="0" distB="0" distL="0" distR="0" wp14:anchorId="03A37700" wp14:editId="7F55F32B">
            <wp:extent cx="6120765" cy="1170940"/>
            <wp:effectExtent l="0" t="0" r="635" b="0"/>
            <wp:docPr id="2" name="Picture 2" descr="Graphical user interface, application,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ebsite&#10;&#10;Description automatically generated"/>
                    <pic:cNvPicPr/>
                  </pic:nvPicPr>
                  <pic:blipFill>
                    <a:blip r:embed="rId9"/>
                    <a:stretch>
                      <a:fillRect/>
                    </a:stretch>
                  </pic:blipFill>
                  <pic:spPr>
                    <a:xfrm>
                      <a:off x="0" y="0"/>
                      <a:ext cx="6120765" cy="1170940"/>
                    </a:xfrm>
                    <a:prstGeom prst="rect">
                      <a:avLst/>
                    </a:prstGeom>
                  </pic:spPr>
                </pic:pic>
              </a:graphicData>
            </a:graphic>
          </wp:inline>
        </w:drawing>
      </w:r>
    </w:p>
    <w:p w14:paraId="34331A4D" w14:textId="6FA9D319" w:rsidR="006A5884" w:rsidRDefault="006A5884" w:rsidP="006A5884">
      <w:pPr>
        <w:pStyle w:val="Caption"/>
        <w:jc w:val="center"/>
        <w:rPr>
          <w:lang w:val="en-US" w:eastAsia="zh-CN"/>
        </w:rPr>
      </w:pPr>
      <w:r>
        <w:t xml:space="preserve">Figure </w:t>
      </w:r>
      <w:r>
        <w:fldChar w:fldCharType="begin"/>
      </w:r>
      <w:r>
        <w:instrText xml:space="preserve"> SEQ Figure \* ARABIC </w:instrText>
      </w:r>
      <w:r>
        <w:fldChar w:fldCharType="separate"/>
      </w:r>
      <w:r w:rsidR="00DD101E">
        <w:rPr>
          <w:noProof/>
        </w:rPr>
        <w:t>2</w:t>
      </w:r>
      <w:r>
        <w:fldChar w:fldCharType="end"/>
      </w:r>
      <w:r>
        <w:t xml:space="preserve"> R17 NCSG - SMTC is partially covered by ML</w:t>
      </w:r>
    </w:p>
    <w:p w14:paraId="25C6EF4A" w14:textId="6921D579" w:rsidR="00ED3E51" w:rsidRDefault="006A5884" w:rsidP="00DA467C">
      <w:pPr>
        <w:rPr>
          <w:lang w:val="en-US" w:eastAsia="zh-CN"/>
        </w:rPr>
      </w:pPr>
      <w:r>
        <w:rPr>
          <w:lang w:val="en-US" w:eastAsia="zh-CN"/>
        </w:rPr>
        <w:t>This can be observed in requirements of intra-frequency measurement without gap:</w:t>
      </w:r>
    </w:p>
    <w:tbl>
      <w:tblPr>
        <w:tblStyle w:val="TableGrid"/>
        <w:tblW w:w="0" w:type="auto"/>
        <w:tblLook w:val="04A0" w:firstRow="1" w:lastRow="0" w:firstColumn="1" w:lastColumn="0" w:noHBand="0" w:noVBand="1"/>
      </w:tblPr>
      <w:tblGrid>
        <w:gridCol w:w="9629"/>
      </w:tblGrid>
      <w:tr w:rsidR="006A5884" w14:paraId="5FA5FCAC" w14:textId="77777777" w:rsidTr="006A5884">
        <w:tc>
          <w:tcPr>
            <w:tcW w:w="9629" w:type="dxa"/>
          </w:tcPr>
          <w:p w14:paraId="2B9DCBF3" w14:textId="7DDB49B1" w:rsidR="006A5884" w:rsidRDefault="006A5884" w:rsidP="00DA467C">
            <w:pPr>
              <w:rPr>
                <w:lang w:val="en-US" w:eastAsia="zh-CN"/>
              </w:rPr>
            </w:pPr>
            <w:r w:rsidRPr="00A05296">
              <w:t xml:space="preserve">When intra-frequency SMTC is partially overlapping with measurement gaps, Kp = </w:t>
            </w:r>
            <w:r w:rsidRPr="00A05296">
              <w:rPr>
                <w:lang w:val="en-US"/>
              </w:rPr>
              <w:t xml:space="preserve">1/(1- (SMTC period /MGRP)), where SMTC period &lt; MGRP. </w:t>
            </w:r>
            <w:r w:rsidRPr="006A5884">
              <w:rPr>
                <w:highlight w:val="yellow"/>
              </w:rPr>
              <w:t xml:space="preserve">When intra-frequency SMTC is partially overlapping with the </w:t>
            </w:r>
            <w:r w:rsidRPr="006A5884">
              <w:rPr>
                <w:rFonts w:hint="eastAsia"/>
                <w:highlight w:val="yellow"/>
                <w:lang w:eastAsia="zh-CN"/>
              </w:rPr>
              <w:t>M</w:t>
            </w:r>
            <w:r w:rsidRPr="006A5884">
              <w:rPr>
                <w:highlight w:val="yellow"/>
              </w:rPr>
              <w:t xml:space="preserve">L of NCSG, Kp = </w:t>
            </w:r>
            <w:r w:rsidRPr="006A5884">
              <w:rPr>
                <w:highlight w:val="yellow"/>
                <w:lang w:val="en-US"/>
              </w:rPr>
              <w:t>1/(1- (SMTC period /VIRP)), where SMTC period &lt; VIRP.</w:t>
            </w:r>
            <w:r>
              <w:rPr>
                <w:rFonts w:hint="eastAsia"/>
                <w:lang w:val="en-US" w:eastAsia="zh-CN"/>
              </w:rPr>
              <w:t xml:space="preserve"> </w:t>
            </w:r>
            <w:r w:rsidRPr="00A05296">
              <w:t xml:space="preserve">For calculation of Kp, if the high layer signalling (TS 38.331 [2]) of </w:t>
            </w:r>
            <w:r w:rsidRPr="00A05296">
              <w:rPr>
                <w:i/>
              </w:rPr>
              <w:t>smtc2</w:t>
            </w:r>
            <w:r w:rsidRPr="00A05296">
              <w:t xml:space="preserve"> is configured, for cells indicated in the </w:t>
            </w:r>
            <w:r w:rsidRPr="00A05296">
              <w:rPr>
                <w:i/>
              </w:rPr>
              <w:t>pci-List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tc>
      </w:tr>
    </w:tbl>
    <w:p w14:paraId="520774D9" w14:textId="79A5FDFD" w:rsidR="006A5884" w:rsidRDefault="00C33C09" w:rsidP="00C33C09">
      <w:pPr>
        <w:pStyle w:val="Caption"/>
      </w:pPr>
      <w:bookmarkStart w:id="3" w:name="_Ref118282029"/>
      <w:r>
        <w:lastRenderedPageBreak/>
        <w:t xml:space="preserve">Observation </w:t>
      </w:r>
      <w:r>
        <w:fldChar w:fldCharType="begin"/>
      </w:r>
      <w:r>
        <w:instrText xml:space="preserve"> SEQ Observation \* ARABIC </w:instrText>
      </w:r>
      <w:r>
        <w:fldChar w:fldCharType="separate"/>
      </w:r>
      <w:r w:rsidR="00612E32">
        <w:rPr>
          <w:noProof/>
        </w:rPr>
        <w:t>1</w:t>
      </w:r>
      <w:r>
        <w:fldChar w:fldCharType="end"/>
      </w:r>
      <w:r>
        <w:t xml:space="preserve">: in </w:t>
      </w:r>
      <w:r w:rsidR="00274774">
        <w:t xml:space="preserve">R17 </w:t>
      </w:r>
      <w:r>
        <w:t>NCSG</w:t>
      </w:r>
      <w:r w:rsidR="00274774">
        <w:t xml:space="preserve"> design</w:t>
      </w:r>
      <w:r>
        <w:t xml:space="preserve"> UE is not required to measured more than one layer.</w:t>
      </w:r>
      <w:bookmarkEnd w:id="3"/>
    </w:p>
    <w:p w14:paraId="4B257C02" w14:textId="03858BF8" w:rsidR="00C33C09" w:rsidRDefault="00DB0FF1" w:rsidP="00C33C09">
      <w:pPr>
        <w:rPr>
          <w:lang w:eastAsia="x-none"/>
        </w:rPr>
      </w:pPr>
      <w:r>
        <w:rPr>
          <w:lang w:eastAsia="x-none"/>
        </w:rPr>
        <w:t>When we come to R18, the above examples can be easily extended to NCSG plus another gap. Take a Type-2 MG for example:</w:t>
      </w:r>
    </w:p>
    <w:p w14:paraId="35576244" w14:textId="22D8AC41" w:rsidR="00DB0FF1" w:rsidRPr="00C33C09" w:rsidRDefault="00DB0FF1" w:rsidP="00C33C09">
      <w:pPr>
        <w:rPr>
          <w:lang w:eastAsia="x-none"/>
        </w:rPr>
      </w:pPr>
      <w:r w:rsidRPr="00DB0FF1">
        <w:rPr>
          <w:noProof/>
          <w:lang w:eastAsia="x-none"/>
        </w:rPr>
        <w:drawing>
          <wp:inline distT="0" distB="0" distL="0" distR="0" wp14:anchorId="6D54F21B" wp14:editId="0ECFC6F6">
            <wp:extent cx="6120765" cy="1672590"/>
            <wp:effectExtent l="0" t="0" r="635" b="3810"/>
            <wp:docPr id="3" name="Picture 3"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website&#10;&#10;Description automatically generated"/>
                    <pic:cNvPicPr/>
                  </pic:nvPicPr>
                  <pic:blipFill>
                    <a:blip r:embed="rId10"/>
                    <a:stretch>
                      <a:fillRect/>
                    </a:stretch>
                  </pic:blipFill>
                  <pic:spPr>
                    <a:xfrm>
                      <a:off x="0" y="0"/>
                      <a:ext cx="6120765" cy="1672590"/>
                    </a:xfrm>
                    <a:prstGeom prst="rect">
                      <a:avLst/>
                    </a:prstGeom>
                  </pic:spPr>
                </pic:pic>
              </a:graphicData>
            </a:graphic>
          </wp:inline>
        </w:drawing>
      </w:r>
    </w:p>
    <w:p w14:paraId="2E0A3C67" w14:textId="738F746D" w:rsidR="00DB0FF1" w:rsidRDefault="00DB0FF1" w:rsidP="00DA467C">
      <w:pPr>
        <w:rPr>
          <w:lang w:val="en-US" w:eastAsia="zh-CN"/>
        </w:rPr>
      </w:pPr>
      <w:r>
        <w:rPr>
          <w:lang w:val="en-US" w:eastAsia="zh-CN"/>
        </w:rPr>
        <w:t xml:space="preserve">Assume UE serving cell is on band A. UE support NCSG on band B but not band C. Thus NW configures </w:t>
      </w:r>
      <w:r w:rsidR="00274774">
        <w:rPr>
          <w:lang w:val="en-US" w:eastAsia="zh-CN"/>
        </w:rPr>
        <w:t>a Type-2 MG for UE to measure band C. Here we assume VIL is outside SMTC to cover option 1 and 2. Since UE it not even required to measure band A within ML, it is unreasonable to require UE to measure band C within ML, i.e. neither NCSG nor GAP is dropped.</w:t>
      </w:r>
    </w:p>
    <w:p w14:paraId="4C9B144B" w14:textId="2C74D54E" w:rsidR="00A21DCB" w:rsidRDefault="00A21DCB" w:rsidP="00A21DCB">
      <w:pPr>
        <w:pStyle w:val="Caption"/>
        <w:rPr>
          <w:rFonts w:cs="v4.2.0"/>
          <w:lang w:val="en-US" w:eastAsia="zh-CN"/>
        </w:rPr>
      </w:pPr>
      <w:bookmarkStart w:id="4" w:name="_Ref118282045"/>
      <w:r>
        <w:t xml:space="preserve">Proposal </w:t>
      </w:r>
      <w:r>
        <w:fldChar w:fldCharType="begin"/>
      </w:r>
      <w:r>
        <w:instrText xml:space="preserve"> SEQ Proposal \* ARABIC </w:instrText>
      </w:r>
      <w:r>
        <w:fldChar w:fldCharType="separate"/>
      </w:r>
      <w:r w:rsidR="00C95CDD">
        <w:rPr>
          <w:noProof/>
        </w:rPr>
        <w:t>1</w:t>
      </w:r>
      <w:r>
        <w:fldChar w:fldCharType="end"/>
      </w:r>
      <w:r>
        <w:rPr>
          <w:rFonts w:hint="eastAsia"/>
          <w:lang w:eastAsia="zh-CN"/>
        </w:rPr>
        <w:t>:</w:t>
      </w:r>
      <w:r>
        <w:rPr>
          <w:lang w:eastAsia="zh-CN"/>
        </w:rPr>
        <w:t xml:space="preserve"> </w:t>
      </w:r>
      <w:r w:rsidRPr="00A21DCB">
        <w:rPr>
          <w:rFonts w:cs="v4.2.0"/>
          <w:lang w:val="en-US" w:eastAsia="zh-CN"/>
        </w:rPr>
        <w:t>when NCSG collides with a</w:t>
      </w:r>
      <w:r w:rsidR="00274774">
        <w:rPr>
          <w:rFonts w:cs="v4.2.0"/>
          <w:lang w:val="en-US" w:eastAsia="zh-CN"/>
        </w:rPr>
        <w:t>nother gap</w:t>
      </w:r>
      <w:r w:rsidRPr="00A21DCB">
        <w:rPr>
          <w:rFonts w:cs="v4.2.0"/>
          <w:lang w:val="en-US" w:eastAsia="zh-CN"/>
        </w:rPr>
        <w:t xml:space="preserve">, either NCSG or the </w:t>
      </w:r>
      <w:r w:rsidR="00274774">
        <w:rPr>
          <w:rFonts w:cs="v4.2.0"/>
          <w:lang w:val="en-US" w:eastAsia="zh-CN"/>
        </w:rPr>
        <w:t>other gap</w:t>
      </w:r>
      <w:r w:rsidR="00274774" w:rsidRPr="00A21DCB">
        <w:rPr>
          <w:rFonts w:cs="v4.2.0"/>
          <w:lang w:val="en-US" w:eastAsia="zh-CN"/>
        </w:rPr>
        <w:t xml:space="preserve"> </w:t>
      </w:r>
      <w:r w:rsidRPr="00A21DCB">
        <w:rPr>
          <w:rFonts w:cs="v4.2.0"/>
          <w:lang w:val="en-US" w:eastAsia="zh-CN"/>
        </w:rPr>
        <w:t xml:space="preserve">shall be dropped. UE is not expected to perform measurement simultaneously in the NCSG and </w:t>
      </w:r>
      <w:r w:rsidR="00274774">
        <w:rPr>
          <w:rFonts w:cs="v4.2.0"/>
          <w:lang w:val="en-US" w:eastAsia="zh-CN"/>
        </w:rPr>
        <w:t>the other gap.</w:t>
      </w:r>
      <w:bookmarkEnd w:id="4"/>
    </w:p>
    <w:p w14:paraId="553CE244" w14:textId="72E5C0FE" w:rsidR="00F22E59" w:rsidRDefault="00F22E59" w:rsidP="00F22E59">
      <w:pPr>
        <w:rPr>
          <w:lang w:val="en-US" w:eastAsia="zh-CN"/>
        </w:rPr>
      </w:pPr>
    </w:p>
    <w:p w14:paraId="7329B69F" w14:textId="61986C8A" w:rsidR="006A41A8" w:rsidRDefault="006A41A8" w:rsidP="00F22E59">
      <w:pPr>
        <w:rPr>
          <w:lang w:val="en-US" w:eastAsia="zh-CN"/>
        </w:rPr>
      </w:pPr>
      <w:r>
        <w:rPr>
          <w:lang w:val="en-US" w:eastAsia="zh-CN"/>
        </w:rPr>
        <w:t xml:space="preserve">The second issue is about </w:t>
      </w:r>
      <w:r>
        <w:rPr>
          <w:lang w:eastAsia="zh-CN"/>
        </w:rPr>
        <w:t>p</w:t>
      </w:r>
      <w:r w:rsidRPr="006A41A8">
        <w:rPr>
          <w:lang w:eastAsia="zh-CN"/>
        </w:rPr>
        <w:t>otential changes to gap association</w:t>
      </w:r>
      <w:r>
        <w:rPr>
          <w:lang w:eastAsia="zh-CN"/>
        </w:rPr>
        <w:t>:</w:t>
      </w:r>
    </w:p>
    <w:tbl>
      <w:tblPr>
        <w:tblStyle w:val="TableGrid"/>
        <w:tblW w:w="0" w:type="auto"/>
        <w:tblLook w:val="04A0" w:firstRow="1" w:lastRow="0" w:firstColumn="1" w:lastColumn="0" w:noHBand="0" w:noVBand="1"/>
      </w:tblPr>
      <w:tblGrid>
        <w:gridCol w:w="9629"/>
      </w:tblGrid>
      <w:tr w:rsidR="006A41A8" w14:paraId="4B0F8FE5" w14:textId="77777777" w:rsidTr="006A41A8">
        <w:tc>
          <w:tcPr>
            <w:tcW w:w="9629" w:type="dxa"/>
          </w:tcPr>
          <w:p w14:paraId="2F102DB1" w14:textId="77777777" w:rsidR="006A41A8" w:rsidRDefault="006A41A8" w:rsidP="006A41A8">
            <w:pPr>
              <w:pStyle w:val="Heading2"/>
              <w:outlineLvl w:val="1"/>
              <w:rPr>
                <w:b/>
                <w:bCs/>
                <w:sz w:val="24"/>
                <w:szCs w:val="24"/>
              </w:rPr>
            </w:pPr>
            <w:r>
              <w:rPr>
                <w:b/>
                <w:bCs/>
                <w:sz w:val="24"/>
                <w:szCs w:val="24"/>
              </w:rPr>
              <w:t>Issue 2-22: [Case 2] Potential changes to gap association</w:t>
            </w:r>
          </w:p>
          <w:p w14:paraId="1AB5AF8D" w14:textId="77777777" w:rsidR="006A41A8" w:rsidRDefault="006A41A8" w:rsidP="006A41A8">
            <w:pPr>
              <w:spacing w:afterLines="50" w:after="120"/>
              <w:ind w:leftChars="200" w:left="400"/>
              <w:rPr>
                <w:lang w:eastAsia="zh-CN"/>
              </w:rPr>
            </w:pPr>
            <w:r>
              <w:rPr>
                <w:b/>
                <w:lang w:eastAsia="zh-CN"/>
              </w:rPr>
              <w:t>&lt; Wayforward &gt;</w:t>
            </w:r>
            <w:r>
              <w:rPr>
                <w:lang w:eastAsia="zh-CN"/>
              </w:rPr>
              <w:t>: FFS the following options</w:t>
            </w:r>
          </w:p>
          <w:p w14:paraId="471C7C4E" w14:textId="77777777" w:rsidR="006A41A8" w:rsidRDefault="006A41A8" w:rsidP="006A41A8">
            <w:pPr>
              <w:numPr>
                <w:ilvl w:val="1"/>
                <w:numId w:val="30"/>
              </w:numPr>
              <w:spacing w:afterLines="50" w:after="120"/>
              <w:rPr>
                <w:rFonts w:eastAsia="PMingLiU"/>
                <w:szCs w:val="24"/>
                <w:lang w:eastAsia="zh-TW"/>
              </w:rPr>
            </w:pPr>
            <w:r>
              <w:rPr>
                <w:rFonts w:eastAsia="PMingLiU"/>
                <w:szCs w:val="24"/>
                <w:lang w:eastAsia="zh-TW"/>
              </w:rPr>
              <w:t>Option 1: RAN4 to further discuss the issue of association of SCell MO in following cases.</w:t>
            </w:r>
          </w:p>
          <w:p w14:paraId="2AD98C23" w14:textId="77777777" w:rsidR="006A41A8" w:rsidRDefault="006A41A8" w:rsidP="006A41A8">
            <w:pPr>
              <w:numPr>
                <w:ilvl w:val="2"/>
                <w:numId w:val="30"/>
              </w:numPr>
              <w:spacing w:afterLines="50" w:after="120"/>
              <w:rPr>
                <w:rFonts w:eastAsia="PMingLiU"/>
                <w:szCs w:val="24"/>
                <w:lang w:eastAsia="zh-TW"/>
              </w:rPr>
            </w:pPr>
            <w:r>
              <w:rPr>
                <w:rFonts w:eastAsia="PMingLiU"/>
                <w:szCs w:val="24"/>
                <w:lang w:eastAsia="zh-TW"/>
              </w:rPr>
              <w:t>Case a: the MO requires MG when SCell is activated</w:t>
            </w:r>
          </w:p>
          <w:p w14:paraId="76E1DF59" w14:textId="77777777" w:rsidR="006A41A8" w:rsidRDefault="006A41A8" w:rsidP="006A41A8">
            <w:pPr>
              <w:numPr>
                <w:ilvl w:val="2"/>
                <w:numId w:val="30"/>
              </w:numPr>
              <w:spacing w:afterLines="50" w:after="120"/>
              <w:rPr>
                <w:rFonts w:eastAsia="PMingLiU"/>
                <w:szCs w:val="24"/>
                <w:lang w:eastAsia="zh-TW"/>
              </w:rPr>
            </w:pPr>
            <w:r>
              <w:rPr>
                <w:rFonts w:eastAsia="PMingLiU"/>
                <w:szCs w:val="24"/>
                <w:lang w:eastAsia="zh-TW"/>
              </w:rPr>
              <w:t>Case c: the MO does not require MG or NCSG when SCell is activated</w:t>
            </w:r>
          </w:p>
          <w:p w14:paraId="524241DB" w14:textId="77777777" w:rsidR="006A41A8" w:rsidRDefault="006A41A8" w:rsidP="006A41A8">
            <w:pPr>
              <w:numPr>
                <w:ilvl w:val="1"/>
                <w:numId w:val="30"/>
              </w:numPr>
              <w:spacing w:afterLines="50" w:after="120"/>
              <w:rPr>
                <w:rFonts w:eastAsia="PMingLiU"/>
                <w:szCs w:val="24"/>
                <w:lang w:eastAsia="zh-TW"/>
              </w:rPr>
            </w:pPr>
            <w:r>
              <w:rPr>
                <w:rFonts w:eastAsia="PMingLiU"/>
                <w:szCs w:val="24"/>
                <w:lang w:eastAsia="zh-TW"/>
              </w:rPr>
              <w:t>Option 2: When NW configures a NCSG and a Con-MG in ConMGs, RAN4 to further discuss how to handle the scenario when a deactivated SCell(within NCSG) transfers to an activated SCell and the related MO had to be measured within MG.</w:t>
            </w:r>
          </w:p>
          <w:p w14:paraId="52E55762" w14:textId="77777777" w:rsidR="006A41A8" w:rsidRDefault="006A41A8" w:rsidP="006A41A8">
            <w:pPr>
              <w:numPr>
                <w:ilvl w:val="2"/>
                <w:numId w:val="30"/>
              </w:numPr>
              <w:spacing w:afterLines="50" w:after="120"/>
              <w:rPr>
                <w:rFonts w:eastAsia="PMingLiU"/>
                <w:szCs w:val="24"/>
                <w:lang w:eastAsia="zh-TW"/>
              </w:rPr>
            </w:pPr>
            <w:r>
              <w:rPr>
                <w:rFonts w:eastAsia="PMingLiU"/>
                <w:szCs w:val="24"/>
                <w:lang w:eastAsia="zh-TW"/>
              </w:rPr>
              <w:t>The deactivated SCell’s MO can be implicitly associated with the NCSG if no explicitly association is configured.</w:t>
            </w:r>
          </w:p>
          <w:p w14:paraId="435628DD" w14:textId="77777777" w:rsidR="006A41A8" w:rsidRDefault="006A41A8" w:rsidP="006A41A8">
            <w:pPr>
              <w:numPr>
                <w:ilvl w:val="2"/>
                <w:numId w:val="30"/>
              </w:numPr>
              <w:spacing w:afterLines="50" w:after="120"/>
              <w:rPr>
                <w:rFonts w:eastAsia="PMingLiU"/>
                <w:szCs w:val="24"/>
                <w:lang w:eastAsia="zh-TW"/>
              </w:rPr>
            </w:pPr>
            <w:r>
              <w:rPr>
                <w:rFonts w:eastAsia="PMingLiU"/>
                <w:szCs w:val="24"/>
                <w:lang w:eastAsia="zh-TW"/>
              </w:rPr>
              <w:t>After SCell activation, the deactivated SCell’s MO can be measured within MG autonomously if the related SSB is outside the active BWP.</w:t>
            </w:r>
          </w:p>
          <w:p w14:paraId="5B6A6D17" w14:textId="77777777" w:rsidR="006A41A8" w:rsidRPr="00067524" w:rsidRDefault="006A41A8" w:rsidP="006A41A8">
            <w:pPr>
              <w:numPr>
                <w:ilvl w:val="1"/>
                <w:numId w:val="30"/>
              </w:numPr>
              <w:spacing w:afterLines="50" w:after="120"/>
              <w:rPr>
                <w:lang w:eastAsia="zh-CN"/>
              </w:rPr>
            </w:pPr>
            <w:r>
              <w:rPr>
                <w:rFonts w:eastAsia="PMingLiU"/>
                <w:szCs w:val="24"/>
                <w:lang w:eastAsia="zh-TW"/>
              </w:rPr>
              <w:t>Option 3: Reuse Rel-17 association rule</w:t>
            </w:r>
          </w:p>
          <w:p w14:paraId="04299A42" w14:textId="1AF47374" w:rsidR="006A41A8" w:rsidRPr="006A41A8" w:rsidRDefault="006A41A8" w:rsidP="00F22E59">
            <w:pPr>
              <w:numPr>
                <w:ilvl w:val="1"/>
                <w:numId w:val="30"/>
              </w:numPr>
              <w:spacing w:afterLines="50" w:after="120"/>
              <w:rPr>
                <w:lang w:eastAsia="zh-CN"/>
              </w:rPr>
            </w:pPr>
            <w:r>
              <w:rPr>
                <w:szCs w:val="24"/>
                <w:lang w:eastAsia="zh-TW"/>
              </w:rPr>
              <w:t>Others are not precluded.</w:t>
            </w:r>
          </w:p>
        </w:tc>
      </w:tr>
    </w:tbl>
    <w:p w14:paraId="17D214DF" w14:textId="4F1C317D" w:rsidR="00A21DCB" w:rsidRDefault="00B71D2E" w:rsidP="00DA467C">
      <w:pPr>
        <w:rPr>
          <w:lang w:val="en-US" w:eastAsia="zh-CN"/>
        </w:rPr>
      </w:pPr>
      <w:r>
        <w:rPr>
          <w:lang w:val="en-US" w:eastAsia="zh-CN"/>
        </w:rPr>
        <w:t>In our understanding, option 1 and 2 require some enhancement on R17 NCSG reporting, which is beneficial and can increase the applicability of NCSG.</w:t>
      </w:r>
      <w:r w:rsidR="00262018">
        <w:rPr>
          <w:lang w:val="en-US" w:eastAsia="zh-CN"/>
        </w:rPr>
        <w:t xml:space="preserve"> According to R17 NCSG reporting, UE indicates two entries respectively for intra-frequency and inter-frequency measurement:</w:t>
      </w:r>
    </w:p>
    <w:p w14:paraId="1F5A67A5" w14:textId="74926054" w:rsidR="00262018" w:rsidRDefault="00262018" w:rsidP="00DA467C">
      <w:pPr>
        <w:rPr>
          <w:lang w:val="en-US" w:eastAsia="zh-CN"/>
        </w:rPr>
      </w:pPr>
      <w:r>
        <w:rPr>
          <w:noProof/>
          <w:lang w:val="en-US" w:eastAsia="zh-CN"/>
        </w:rPr>
        <w:lastRenderedPageBreak/>
        <w:drawing>
          <wp:inline distT="0" distB="0" distL="0" distR="0" wp14:anchorId="2E867B24" wp14:editId="368F45D6">
            <wp:extent cx="6120765" cy="3426460"/>
            <wp:effectExtent l="0" t="0" r="635" b="2540"/>
            <wp:docPr id="4" name="Picture 4"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 email&#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3426460"/>
                    </a:xfrm>
                    <a:prstGeom prst="rect">
                      <a:avLst/>
                    </a:prstGeom>
                  </pic:spPr>
                </pic:pic>
              </a:graphicData>
            </a:graphic>
          </wp:inline>
        </w:drawing>
      </w:r>
    </w:p>
    <w:p w14:paraId="3C1A04D6" w14:textId="5E5C2A23" w:rsidR="00262018" w:rsidRDefault="00262018" w:rsidP="00DA467C">
      <w:pPr>
        <w:rPr>
          <w:lang w:val="en-US" w:eastAsia="zh-CN"/>
        </w:rPr>
      </w:pPr>
      <w:r>
        <w:rPr>
          <w:lang w:val="en-US" w:eastAsia="zh-CN"/>
        </w:rPr>
        <w:t>O</w:t>
      </w:r>
      <w:r>
        <w:rPr>
          <w:rFonts w:hint="eastAsia"/>
          <w:lang w:val="en-US" w:eastAsia="zh-CN"/>
        </w:rPr>
        <w:t>ne</w:t>
      </w:r>
      <w:r>
        <w:rPr>
          <w:lang w:val="en-US" w:eastAsia="zh-CN"/>
        </w:rPr>
        <w:t xml:space="preserve"> thing we would like to highlight is that the reporting is relatively static, based on the configured CA band combination and </w:t>
      </w:r>
      <w:r w:rsidR="00D93726">
        <w:rPr>
          <w:lang w:val="en-US" w:eastAsia="zh-CN"/>
        </w:rPr>
        <w:t>regardless of</w:t>
      </w:r>
      <w:r>
        <w:rPr>
          <w:lang w:val="en-US" w:eastAsia="zh-CN"/>
        </w:rPr>
        <w:t xml:space="preserve"> whether the SCell is activated or not. </w:t>
      </w:r>
      <w:r w:rsidR="00D93726">
        <w:rPr>
          <w:lang w:val="en-US" w:eastAsia="zh-CN"/>
        </w:rPr>
        <w:t>Therefore, if some MO can not be measured within NCSG, e.g. SCell is activated and the MO is outside active BWP, UE shall not claim support of NCSG on this band or serving cell.</w:t>
      </w:r>
      <w:r w:rsidR="00DD101E">
        <w:rPr>
          <w:lang w:val="en-US" w:eastAsia="zh-CN"/>
        </w:rPr>
        <w:t xml:space="preserve"> For example:</w:t>
      </w:r>
    </w:p>
    <w:p w14:paraId="10C96905" w14:textId="6ABDF98F" w:rsidR="00DD101E" w:rsidRDefault="00DD101E" w:rsidP="00DA467C">
      <w:pPr>
        <w:rPr>
          <w:lang w:val="en-US" w:eastAsia="zh-CN"/>
        </w:rPr>
      </w:pPr>
      <w:r w:rsidRPr="00DD101E">
        <w:rPr>
          <w:noProof/>
          <w:lang w:val="en-US" w:eastAsia="zh-CN"/>
        </w:rPr>
        <w:drawing>
          <wp:inline distT="0" distB="0" distL="0" distR="0" wp14:anchorId="151BCE79" wp14:editId="0F7540B3">
            <wp:extent cx="6120765" cy="1263015"/>
            <wp:effectExtent l="0" t="0" r="0" b="0"/>
            <wp:docPr id="6" name="Picture 6"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website&#10;&#10;Description automatically generated"/>
                    <pic:cNvPicPr/>
                  </pic:nvPicPr>
                  <pic:blipFill>
                    <a:blip r:embed="rId12"/>
                    <a:stretch>
                      <a:fillRect/>
                    </a:stretch>
                  </pic:blipFill>
                  <pic:spPr>
                    <a:xfrm>
                      <a:off x="0" y="0"/>
                      <a:ext cx="6120765" cy="1263015"/>
                    </a:xfrm>
                    <a:prstGeom prst="rect">
                      <a:avLst/>
                    </a:prstGeom>
                  </pic:spPr>
                </pic:pic>
              </a:graphicData>
            </a:graphic>
          </wp:inline>
        </w:drawing>
      </w:r>
    </w:p>
    <w:p w14:paraId="2F2DB17C" w14:textId="0ED152DF" w:rsidR="00DD101E" w:rsidRDefault="00DD101E" w:rsidP="00DD101E">
      <w:pPr>
        <w:pStyle w:val="Caption"/>
        <w:jc w:val="center"/>
        <w:rPr>
          <w:lang w:val="en-US" w:eastAsia="zh-CN"/>
        </w:rPr>
      </w:pPr>
      <w:r>
        <w:t xml:space="preserve">Figure </w:t>
      </w:r>
      <w:r>
        <w:fldChar w:fldCharType="begin"/>
      </w:r>
      <w:r>
        <w:instrText xml:space="preserve"> SEQ Figure \* ARABIC </w:instrText>
      </w:r>
      <w:r>
        <w:fldChar w:fldCharType="separate"/>
      </w:r>
      <w:r>
        <w:rPr>
          <w:noProof/>
        </w:rPr>
        <w:t>3</w:t>
      </w:r>
      <w:r>
        <w:fldChar w:fldCharType="end"/>
      </w:r>
      <w:r>
        <w:t xml:space="preserve"> NCSG for SCell measurement</w:t>
      </w:r>
    </w:p>
    <w:p w14:paraId="3127178B" w14:textId="77777777" w:rsidR="00612E32" w:rsidRDefault="00DD101E" w:rsidP="00DA467C">
      <w:pPr>
        <w:rPr>
          <w:lang w:val="en-US" w:eastAsia="zh-CN"/>
        </w:rPr>
      </w:pPr>
      <w:r>
        <w:rPr>
          <w:lang w:val="en-US" w:eastAsia="zh-CN"/>
        </w:rPr>
        <w:t>Assuming there is a vacant RF chain when the SCell is deactivated, then UE can use it for measurement on the deactivated SCell. However, when the SCell is activated and BWP2 is the active BWP, UE may not support the measurement with NCSG since the MO is outside active BWP. Conservatively, the UE shall not claim support of NCSG on this SCell</w:t>
      </w:r>
      <w:r w:rsidR="00612E32">
        <w:rPr>
          <w:lang w:val="en-US" w:eastAsia="zh-CN"/>
        </w:rPr>
        <w:t>.</w:t>
      </w:r>
    </w:p>
    <w:p w14:paraId="1E3AFAFD" w14:textId="43BF0EBB" w:rsidR="00DD101E" w:rsidRDefault="00DD101E" w:rsidP="00DA467C">
      <w:pPr>
        <w:rPr>
          <w:lang w:val="en-US" w:eastAsia="zh-CN"/>
        </w:rPr>
      </w:pPr>
      <w:r>
        <w:rPr>
          <w:lang w:val="en-US" w:eastAsia="zh-CN"/>
        </w:rPr>
        <w:t>If the UE is always operating with larger BW, e.g. as CBW, the UE may still support NCSG for this SCell.</w:t>
      </w:r>
    </w:p>
    <w:p w14:paraId="4E7D7126" w14:textId="4DF9F504" w:rsidR="009842DF" w:rsidRDefault="00612E32" w:rsidP="00612E32">
      <w:pPr>
        <w:pStyle w:val="Caption"/>
      </w:pPr>
      <w:bookmarkStart w:id="5" w:name="_Ref118282032"/>
      <w:r>
        <w:t xml:space="preserve">Observation </w:t>
      </w:r>
      <w:r>
        <w:fldChar w:fldCharType="begin"/>
      </w:r>
      <w:r>
        <w:instrText xml:space="preserve"> SEQ Observation \* ARABIC </w:instrText>
      </w:r>
      <w:r>
        <w:fldChar w:fldCharType="separate"/>
      </w:r>
      <w:r>
        <w:rPr>
          <w:noProof/>
        </w:rPr>
        <w:t>2</w:t>
      </w:r>
      <w:r>
        <w:fldChar w:fldCharType="end"/>
      </w:r>
      <w:r>
        <w:t xml:space="preserve">: according to R17 NCSG reporting design, </w:t>
      </w:r>
      <w:r w:rsidR="00084645">
        <w:t xml:space="preserve">UE shall NOT indicate support of NCSG </w:t>
      </w:r>
      <w:r w:rsidR="00C65F92">
        <w:t>for the band unless UE can always perform measurement within NCSG regardless of which BWP is the active BWP.</w:t>
      </w:r>
      <w:r w:rsidR="00BD7888">
        <w:t xml:space="preserve"> In other word, once UE indicates support of NCSG for the band, the MO within this band can always be measured within NCSG.</w:t>
      </w:r>
      <w:bookmarkEnd w:id="5"/>
    </w:p>
    <w:p w14:paraId="13A4F09B" w14:textId="4B595D40" w:rsidR="00612E32" w:rsidRDefault="00C72F4A" w:rsidP="00612E32">
      <w:pPr>
        <w:pStyle w:val="Caption"/>
        <w:rPr>
          <w:b w:val="0"/>
          <w:bCs w:val="0"/>
        </w:rPr>
      </w:pPr>
      <w:r w:rsidRPr="00C72F4A">
        <w:rPr>
          <w:b w:val="0"/>
          <w:bCs w:val="0"/>
        </w:rPr>
        <w:t>Therefore,</w:t>
      </w:r>
      <w:r>
        <w:rPr>
          <w:b w:val="0"/>
          <w:bCs w:val="0"/>
        </w:rPr>
        <w:t xml:space="preserve"> a prerequisite of option 1 and 2 is that UE can indicate support of NCSG </w:t>
      </w:r>
      <w:r w:rsidR="0010202A">
        <w:rPr>
          <w:b w:val="0"/>
          <w:bCs w:val="0"/>
        </w:rPr>
        <w:t>when SCell is deactivated.</w:t>
      </w:r>
      <w:r w:rsidR="00626C7D">
        <w:rPr>
          <w:b w:val="0"/>
          <w:bCs w:val="0"/>
        </w:rPr>
        <w:t xml:space="preserve"> </w:t>
      </w:r>
      <w:r w:rsidR="00750FEE">
        <w:rPr>
          <w:b w:val="0"/>
          <w:bCs w:val="0"/>
        </w:rPr>
        <w:t xml:space="preserve">If this is agreeable, then RAN4 can further discuss how to optimize when the SCell is </w:t>
      </w:r>
      <w:r w:rsidR="00E61252">
        <w:rPr>
          <w:b w:val="0"/>
          <w:bCs w:val="0"/>
        </w:rPr>
        <w:t>active,</w:t>
      </w:r>
      <w:r w:rsidR="00750FEE">
        <w:rPr>
          <w:b w:val="0"/>
          <w:bCs w:val="0"/>
        </w:rPr>
        <w:t xml:space="preserve"> </w:t>
      </w:r>
      <w:r w:rsidR="000253D8">
        <w:rPr>
          <w:b w:val="0"/>
          <w:bCs w:val="0"/>
        </w:rPr>
        <w:t>and UE loses support of NCSG.</w:t>
      </w:r>
    </w:p>
    <w:p w14:paraId="6B28F900" w14:textId="5492E208" w:rsidR="00E61252" w:rsidRDefault="00E61252" w:rsidP="00E61252">
      <w:pPr>
        <w:pStyle w:val="Caption"/>
        <w:rPr>
          <w:rFonts w:eastAsia="PMingLiU"/>
          <w:szCs w:val="24"/>
          <w:lang w:eastAsia="zh-TW"/>
        </w:rPr>
      </w:pPr>
      <w:bookmarkStart w:id="6" w:name="_Ref118282063"/>
      <w:r>
        <w:t xml:space="preserve">Proposal </w:t>
      </w:r>
      <w:r>
        <w:fldChar w:fldCharType="begin"/>
      </w:r>
      <w:r>
        <w:instrText xml:space="preserve"> SEQ Proposal \* ARABIC </w:instrText>
      </w:r>
      <w:r>
        <w:fldChar w:fldCharType="separate"/>
      </w:r>
      <w:r w:rsidR="00C95CDD">
        <w:rPr>
          <w:noProof/>
        </w:rPr>
        <w:t>2</w:t>
      </w:r>
      <w:r>
        <w:fldChar w:fldCharType="end"/>
      </w:r>
      <w:r>
        <w:t xml:space="preserve">: </w:t>
      </w:r>
      <w:r w:rsidRPr="00A21DCB">
        <w:rPr>
          <w:lang w:val="en-US"/>
        </w:rPr>
        <w:t>a new indication shall be introduced enable support of NCSG for deactivated SCell only</w:t>
      </w:r>
      <w:r>
        <w:rPr>
          <w:lang w:val="en-US"/>
        </w:rPr>
        <w:t xml:space="preserve">. If this is agreeable, RAN4 can further discuss the potential changes to gap association as captured in issue 2-22 in thread </w:t>
      </w:r>
      <w:r w:rsidRPr="00E61252">
        <w:rPr>
          <w:lang w:val="en-US"/>
        </w:rPr>
        <w:t>[104-bis-e][222] NR_Mob_enh2_part1</w:t>
      </w:r>
      <w:r>
        <w:rPr>
          <w:lang w:val="en-US"/>
        </w:rPr>
        <w:t xml:space="preserve">, e.g. how to handle </w:t>
      </w:r>
      <w:r>
        <w:rPr>
          <w:rFonts w:eastAsia="PMingLiU"/>
          <w:szCs w:val="24"/>
          <w:lang w:eastAsia="zh-TW"/>
        </w:rPr>
        <w:t>MO requires MG when SCell is activated</w:t>
      </w:r>
      <w:r w:rsidR="006A18AC">
        <w:rPr>
          <w:rFonts w:eastAsia="PMingLiU"/>
          <w:szCs w:val="24"/>
          <w:lang w:eastAsia="zh-TW"/>
        </w:rPr>
        <w:t>.</w:t>
      </w:r>
      <w:bookmarkEnd w:id="6"/>
    </w:p>
    <w:p w14:paraId="5FAAACB4" w14:textId="31B06602" w:rsidR="00A9185B" w:rsidRDefault="00A9185B" w:rsidP="00A9185B">
      <w:pPr>
        <w:rPr>
          <w:lang w:eastAsia="zh-TW"/>
        </w:rPr>
      </w:pPr>
    </w:p>
    <w:p w14:paraId="574634CA" w14:textId="5C1231CF" w:rsidR="00A9185B" w:rsidRDefault="0037691B" w:rsidP="00A9185B">
      <w:pPr>
        <w:rPr>
          <w:lang w:eastAsia="zh-TW"/>
        </w:rPr>
      </w:pPr>
      <w:r>
        <w:rPr>
          <w:lang w:eastAsia="zh-TW"/>
        </w:rPr>
        <w:t>Another issue is on p</w:t>
      </w:r>
      <w:r w:rsidRPr="0037691B">
        <w:rPr>
          <w:lang w:eastAsia="zh-TW"/>
        </w:rPr>
        <w:t>otential changes to measurement requirements:</w:t>
      </w:r>
    </w:p>
    <w:tbl>
      <w:tblPr>
        <w:tblStyle w:val="TableGrid"/>
        <w:tblW w:w="0" w:type="auto"/>
        <w:tblLook w:val="04A0" w:firstRow="1" w:lastRow="0" w:firstColumn="1" w:lastColumn="0" w:noHBand="0" w:noVBand="1"/>
      </w:tblPr>
      <w:tblGrid>
        <w:gridCol w:w="9629"/>
      </w:tblGrid>
      <w:tr w:rsidR="0037691B" w14:paraId="00F02EB3" w14:textId="77777777" w:rsidTr="0037691B">
        <w:tc>
          <w:tcPr>
            <w:tcW w:w="9629" w:type="dxa"/>
          </w:tcPr>
          <w:p w14:paraId="6D40A931" w14:textId="77777777" w:rsidR="0037691B" w:rsidRDefault="0037691B" w:rsidP="0037691B">
            <w:pPr>
              <w:pStyle w:val="Heading2"/>
              <w:outlineLvl w:val="1"/>
              <w:rPr>
                <w:b/>
                <w:bCs/>
                <w:sz w:val="24"/>
                <w:szCs w:val="24"/>
              </w:rPr>
            </w:pPr>
            <w:r>
              <w:rPr>
                <w:b/>
                <w:bCs/>
                <w:sz w:val="24"/>
                <w:szCs w:val="24"/>
              </w:rPr>
              <w:lastRenderedPageBreak/>
              <w:t>Issue 2-24: [Case 2] Potential changes to measurement requirements</w:t>
            </w:r>
          </w:p>
          <w:p w14:paraId="64A79DE8" w14:textId="77777777" w:rsidR="0037691B" w:rsidRDefault="0037691B" w:rsidP="0037691B">
            <w:pPr>
              <w:spacing w:afterLines="50" w:after="120"/>
              <w:ind w:leftChars="200" w:left="400"/>
              <w:rPr>
                <w:lang w:eastAsia="zh-CN"/>
              </w:rPr>
            </w:pPr>
            <w:r>
              <w:rPr>
                <w:b/>
                <w:lang w:eastAsia="zh-CN"/>
              </w:rPr>
              <w:t>&lt; Wayforward &gt;</w:t>
            </w:r>
            <w:r>
              <w:rPr>
                <w:lang w:eastAsia="zh-CN"/>
              </w:rPr>
              <w:t>: FFS the following options</w:t>
            </w:r>
          </w:p>
          <w:p w14:paraId="0D61B6B5" w14:textId="77777777" w:rsidR="0037691B" w:rsidRDefault="0037691B" w:rsidP="0037691B">
            <w:pPr>
              <w:numPr>
                <w:ilvl w:val="1"/>
                <w:numId w:val="30"/>
              </w:numPr>
              <w:spacing w:afterLines="50" w:after="120"/>
              <w:rPr>
                <w:rFonts w:eastAsia="PMingLiU"/>
                <w:szCs w:val="24"/>
                <w:lang w:eastAsia="zh-TW"/>
              </w:rPr>
            </w:pPr>
            <w:r>
              <w:rPr>
                <w:rFonts w:eastAsia="PMingLiU"/>
                <w:szCs w:val="24"/>
                <w:lang w:eastAsia="zh-TW"/>
              </w:rPr>
              <w:t>Option 1: CATT</w:t>
            </w:r>
          </w:p>
          <w:p w14:paraId="78AB0708" w14:textId="77777777" w:rsidR="0037691B" w:rsidRDefault="0037691B" w:rsidP="0037691B">
            <w:pPr>
              <w:numPr>
                <w:ilvl w:val="2"/>
                <w:numId w:val="30"/>
              </w:numPr>
              <w:spacing w:afterLines="50" w:after="120"/>
              <w:rPr>
                <w:rFonts w:eastAsia="PMingLiU"/>
                <w:szCs w:val="24"/>
                <w:lang w:eastAsia="zh-TW"/>
              </w:rPr>
            </w:pPr>
            <w:r>
              <w:rPr>
                <w:rFonts w:eastAsia="PMingLiU"/>
                <w:szCs w:val="24"/>
                <w:lang w:eastAsia="zh-TW"/>
              </w:rPr>
              <w:t xml:space="preserve">The measurement requirements can be reused except that the CSSF for gap and NCSG are defined separately. </w:t>
            </w:r>
          </w:p>
          <w:p w14:paraId="5439B079" w14:textId="77777777" w:rsidR="0037691B" w:rsidRDefault="0037691B" w:rsidP="0037691B">
            <w:pPr>
              <w:numPr>
                <w:ilvl w:val="1"/>
                <w:numId w:val="30"/>
              </w:numPr>
              <w:spacing w:afterLines="50" w:after="120"/>
              <w:rPr>
                <w:rFonts w:eastAsia="PMingLiU"/>
                <w:szCs w:val="24"/>
                <w:lang w:eastAsia="zh-TW"/>
              </w:rPr>
            </w:pPr>
            <w:r>
              <w:rPr>
                <w:rFonts w:eastAsia="PMingLiU"/>
                <w:szCs w:val="24"/>
                <w:lang w:eastAsia="zh-TW"/>
              </w:rPr>
              <w:t>Option 2: Qualcomm</w:t>
            </w:r>
          </w:p>
          <w:p w14:paraId="7CD13521" w14:textId="4C020A1B" w:rsidR="0037691B" w:rsidRDefault="0037691B" w:rsidP="00A9185B">
            <w:pPr>
              <w:numPr>
                <w:ilvl w:val="2"/>
                <w:numId w:val="30"/>
              </w:numPr>
              <w:spacing w:afterLines="50" w:after="120"/>
              <w:rPr>
                <w:lang w:eastAsia="zh-CN"/>
              </w:rPr>
            </w:pPr>
            <w:r>
              <w:rPr>
                <w:rFonts w:eastAsia="PMingLiU"/>
                <w:szCs w:val="24"/>
                <w:lang w:eastAsia="zh-TW"/>
              </w:rPr>
              <w:t>The measurement requirements for Rel-17 concurrent MG will be applicable to gap combinations that include NCSG(s) (Case 2). For NR SSB-based measurements performed within NCSG, a scaling factor Kgap needs to be added to account for collisions with other measurement gaps.</w:t>
            </w:r>
          </w:p>
        </w:tc>
      </w:tr>
    </w:tbl>
    <w:p w14:paraId="4A2DDE12" w14:textId="513EC978" w:rsidR="0037691B" w:rsidRDefault="00E6181D" w:rsidP="00A9185B">
      <w:pPr>
        <w:rPr>
          <w:lang w:eastAsia="zh-TW"/>
        </w:rPr>
      </w:pPr>
      <w:r>
        <w:rPr>
          <w:lang w:eastAsia="zh-TW"/>
        </w:rPr>
        <w:t>We believe option 1 and 2 are not completely mutual exclusive. But option 2 is clearer.</w:t>
      </w:r>
    </w:p>
    <w:p w14:paraId="70C3D137" w14:textId="13F5D968" w:rsidR="00C95CDD" w:rsidRPr="00A9185B" w:rsidRDefault="00C95CDD" w:rsidP="00C95CDD">
      <w:pPr>
        <w:pStyle w:val="Caption"/>
        <w:rPr>
          <w:lang w:eastAsia="zh-TW"/>
        </w:rPr>
      </w:pPr>
      <w:bookmarkStart w:id="7" w:name="_Ref118282066"/>
      <w:r>
        <w:t xml:space="preserve">Proposal </w:t>
      </w:r>
      <w:r>
        <w:fldChar w:fldCharType="begin"/>
      </w:r>
      <w:r>
        <w:instrText xml:space="preserve"> SEQ Proposal \* ARABIC </w:instrText>
      </w:r>
      <w:r>
        <w:fldChar w:fldCharType="separate"/>
      </w:r>
      <w:r>
        <w:rPr>
          <w:noProof/>
        </w:rPr>
        <w:t>3</w:t>
      </w:r>
      <w:r>
        <w:fldChar w:fldCharType="end"/>
      </w:r>
      <w:r>
        <w:t xml:space="preserve">: </w:t>
      </w:r>
      <w:r>
        <w:rPr>
          <w:rFonts w:eastAsia="PMingLiU"/>
          <w:szCs w:val="24"/>
          <w:lang w:eastAsia="zh-TW"/>
        </w:rPr>
        <w:t>The measurement requirements for Rel-17 concurrent MG will be applicable to gap combinations that include NCSG(s) (Case 2). For NR SSB-based measurements performed within NCSG, a scaling factor Kgap needs to be added to account for collisions with other measurement gaps.</w:t>
      </w:r>
      <w:bookmarkEnd w:id="7"/>
    </w:p>
    <w:p w14:paraId="1E1FB8D8" w14:textId="74ECE397" w:rsidR="00612E32" w:rsidRDefault="00612E32" w:rsidP="00DA467C">
      <w:pPr>
        <w:rPr>
          <w:lang w:val="en-US" w:eastAsia="zh-CN"/>
        </w:rPr>
      </w:pPr>
    </w:p>
    <w:p w14:paraId="3EE40AB9" w14:textId="713391D5" w:rsidR="00C95CDD" w:rsidRDefault="00C95CDD" w:rsidP="00DA467C">
      <w:pPr>
        <w:rPr>
          <w:lang w:val="en-US" w:eastAsia="zh-CN"/>
        </w:rPr>
      </w:pPr>
      <w:r>
        <w:rPr>
          <w:lang w:val="en-US" w:eastAsia="zh-CN"/>
        </w:rPr>
        <w:t>The last one is about NW configuration:</w:t>
      </w:r>
    </w:p>
    <w:tbl>
      <w:tblPr>
        <w:tblStyle w:val="TableGrid"/>
        <w:tblW w:w="0" w:type="auto"/>
        <w:tblLook w:val="04A0" w:firstRow="1" w:lastRow="0" w:firstColumn="1" w:lastColumn="0" w:noHBand="0" w:noVBand="1"/>
      </w:tblPr>
      <w:tblGrid>
        <w:gridCol w:w="9629"/>
      </w:tblGrid>
      <w:tr w:rsidR="00C95CDD" w14:paraId="4ADF84BE" w14:textId="77777777" w:rsidTr="00C95CDD">
        <w:tc>
          <w:tcPr>
            <w:tcW w:w="9629" w:type="dxa"/>
          </w:tcPr>
          <w:p w14:paraId="7BF44D27" w14:textId="77777777" w:rsidR="00C95CDD" w:rsidRDefault="00C95CDD" w:rsidP="00C95CDD">
            <w:pPr>
              <w:pStyle w:val="Heading2"/>
              <w:outlineLvl w:val="1"/>
              <w:rPr>
                <w:b/>
                <w:bCs/>
                <w:sz w:val="24"/>
                <w:szCs w:val="24"/>
              </w:rPr>
            </w:pPr>
            <w:r>
              <w:rPr>
                <w:b/>
                <w:bCs/>
                <w:sz w:val="24"/>
                <w:szCs w:val="24"/>
              </w:rPr>
              <w:t>Issue 2-25: [Case 2] Network configuration</w:t>
            </w:r>
          </w:p>
          <w:p w14:paraId="6640D317" w14:textId="77777777" w:rsidR="00C95CDD" w:rsidRDefault="00C95CDD" w:rsidP="00C95CDD">
            <w:pPr>
              <w:spacing w:afterLines="50" w:after="120"/>
              <w:ind w:leftChars="200" w:left="400"/>
              <w:rPr>
                <w:lang w:eastAsia="zh-CN"/>
              </w:rPr>
            </w:pPr>
            <w:r>
              <w:rPr>
                <w:b/>
                <w:lang w:eastAsia="zh-CN"/>
              </w:rPr>
              <w:t>&lt; Wayforward &gt;</w:t>
            </w:r>
            <w:r>
              <w:rPr>
                <w:lang w:eastAsia="zh-CN"/>
              </w:rPr>
              <w:t xml:space="preserve">: The following option: </w:t>
            </w:r>
          </w:p>
          <w:p w14:paraId="7878BC5F" w14:textId="1728024C" w:rsidR="00C95CDD" w:rsidRPr="00C95CDD" w:rsidRDefault="00C95CDD" w:rsidP="00DA467C">
            <w:pPr>
              <w:numPr>
                <w:ilvl w:val="0"/>
                <w:numId w:val="30"/>
              </w:numPr>
              <w:spacing w:afterLines="50" w:after="120"/>
              <w:ind w:leftChars="200" w:left="820"/>
              <w:rPr>
                <w:lang w:eastAsia="zh-CN"/>
              </w:rPr>
            </w:pPr>
            <w:r>
              <w:rPr>
                <w:rFonts w:eastAsia="PMingLiU"/>
                <w:szCs w:val="24"/>
                <w:lang w:eastAsia="zh-TW"/>
              </w:rPr>
              <w:t xml:space="preserve"> Option 1: </w:t>
            </w:r>
            <w:r>
              <w:rPr>
                <w:szCs w:val="24"/>
                <w:lang w:eastAsia="zh-CN"/>
              </w:rPr>
              <w:t>Network shall configure all measurement gaps within the concurrent MGs as NCSG when UE can support NCSG capability</w:t>
            </w:r>
          </w:p>
        </w:tc>
      </w:tr>
    </w:tbl>
    <w:p w14:paraId="4DF6960B" w14:textId="79E8E2AE" w:rsidR="00C95CDD" w:rsidRDefault="00FA48A3" w:rsidP="00DA467C">
      <w:pPr>
        <w:rPr>
          <w:lang w:val="en-US" w:eastAsia="zh-CN"/>
        </w:rPr>
      </w:pPr>
      <w:r>
        <w:rPr>
          <w:lang w:val="en-US" w:eastAsia="zh-CN"/>
        </w:rPr>
        <w:t xml:space="preserve">First, this depends on whether NCSG+NCSG is supported, which shall be as in our understanding. Second, it seems this is NW </w:t>
      </w:r>
      <w:r w:rsidR="002214D6">
        <w:rPr>
          <w:lang w:val="en-US" w:eastAsia="zh-CN"/>
        </w:rPr>
        <w:t>implementation issue, even though it technically has better performance. Therefore, we don’t have strong view whether RAN4 needs to explicitly agree on this one.</w:t>
      </w:r>
      <w:r>
        <w:rPr>
          <w:lang w:val="en-US" w:eastAsia="zh-CN"/>
        </w:rPr>
        <w:t xml:space="preserve"> </w:t>
      </w:r>
    </w:p>
    <w:p w14:paraId="460ED09C" w14:textId="77777777" w:rsidR="00C95CDD" w:rsidRPr="00DA467C" w:rsidRDefault="00C95CDD" w:rsidP="00DA467C">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498CB38" w14:textId="242D7A1E" w:rsidR="00BA387A" w:rsidRDefault="005D4A3C" w:rsidP="00BA387A">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 xml:space="preserve">case </w:t>
      </w:r>
      <w:r w:rsidR="00080AEC">
        <w:rPr>
          <w:rFonts w:cs="v4.2.0"/>
          <w:lang w:val="en-US" w:eastAsia="zh-CN"/>
        </w:rPr>
        <w:t>2</w:t>
      </w:r>
      <w:r w:rsidR="00AF100C">
        <w:rPr>
          <w:rFonts w:cs="v4.2.0"/>
          <w:lang w:val="en-US" w:eastAsia="zh-CN"/>
        </w:rPr>
        <w:t xml:space="preserve"> </w:t>
      </w:r>
      <w:r w:rsidR="00CF3D58">
        <w:rPr>
          <w:rFonts w:cs="v4.2.0"/>
          <w:lang w:val="en-US" w:eastAsia="zh-CN"/>
        </w:rPr>
        <w:t>RRM requirements</w:t>
      </w:r>
      <w:r w:rsidR="00AF100C">
        <w:rPr>
          <w:rFonts w:cs="v4.2.0"/>
          <w:lang w:val="en-US" w:eastAsia="zh-CN"/>
        </w:rPr>
        <w:t>. After discussion the following conclusions are provided:</w:t>
      </w:r>
    </w:p>
    <w:p w14:paraId="4F39BB91" w14:textId="33208A33" w:rsidR="00A21DCB" w:rsidRPr="0043744D" w:rsidRDefault="0043744D" w:rsidP="000D3027">
      <w:pPr>
        <w:jc w:val="both"/>
        <w:rPr>
          <w:rFonts w:cs="v4.2.0"/>
          <w:b/>
          <w:bCs/>
          <w:lang w:val="en-US" w:eastAsia="zh-CN"/>
        </w:rPr>
      </w:pPr>
      <w:r w:rsidRPr="0043744D">
        <w:rPr>
          <w:rFonts w:cs="v4.2.0"/>
          <w:b/>
          <w:bCs/>
          <w:lang w:val="en-US" w:eastAsia="zh-CN"/>
        </w:rPr>
        <w:fldChar w:fldCharType="begin"/>
      </w:r>
      <w:r w:rsidRPr="0043744D">
        <w:rPr>
          <w:rFonts w:cs="v4.2.0"/>
          <w:b/>
          <w:bCs/>
          <w:lang w:val="en-US" w:eastAsia="zh-CN"/>
        </w:rPr>
        <w:instrText xml:space="preserve"> REF _Ref118282029 \h  \* MERGEFORMAT </w:instrText>
      </w:r>
      <w:r w:rsidRPr="0043744D">
        <w:rPr>
          <w:rFonts w:cs="v4.2.0"/>
          <w:b/>
          <w:bCs/>
          <w:lang w:val="en-US" w:eastAsia="zh-CN"/>
        </w:rPr>
      </w:r>
      <w:r w:rsidRPr="0043744D">
        <w:rPr>
          <w:rFonts w:cs="v4.2.0"/>
          <w:b/>
          <w:bCs/>
          <w:lang w:val="en-US" w:eastAsia="zh-CN"/>
        </w:rPr>
        <w:fldChar w:fldCharType="separate"/>
      </w:r>
      <w:r w:rsidRPr="0043744D">
        <w:rPr>
          <w:b/>
          <w:bCs/>
        </w:rPr>
        <w:t xml:space="preserve">Observation </w:t>
      </w:r>
      <w:r w:rsidRPr="0043744D">
        <w:rPr>
          <w:b/>
          <w:bCs/>
          <w:noProof/>
        </w:rPr>
        <w:t>1</w:t>
      </w:r>
      <w:r w:rsidRPr="0043744D">
        <w:rPr>
          <w:b/>
          <w:bCs/>
        </w:rPr>
        <w:t>: in R17 NCSG design UE is not required to measured more than one layer.</w:t>
      </w:r>
      <w:r w:rsidRPr="0043744D">
        <w:rPr>
          <w:rFonts w:cs="v4.2.0"/>
          <w:b/>
          <w:bCs/>
          <w:lang w:val="en-US" w:eastAsia="zh-CN"/>
        </w:rPr>
        <w:fldChar w:fldCharType="end"/>
      </w:r>
    </w:p>
    <w:p w14:paraId="6D3C826E" w14:textId="0262A46B" w:rsidR="0043744D" w:rsidRPr="0043744D" w:rsidRDefault="0043744D" w:rsidP="000D3027">
      <w:pPr>
        <w:jc w:val="both"/>
        <w:rPr>
          <w:rFonts w:cs="v4.2.0"/>
          <w:b/>
          <w:bCs/>
          <w:lang w:val="en-US" w:eastAsia="zh-CN"/>
        </w:rPr>
      </w:pPr>
      <w:r w:rsidRPr="0043744D">
        <w:rPr>
          <w:rFonts w:cs="v4.2.0"/>
          <w:b/>
          <w:bCs/>
          <w:lang w:val="en-US" w:eastAsia="zh-CN"/>
        </w:rPr>
        <w:fldChar w:fldCharType="begin"/>
      </w:r>
      <w:r w:rsidRPr="0043744D">
        <w:rPr>
          <w:rFonts w:cs="v4.2.0"/>
          <w:b/>
          <w:bCs/>
          <w:lang w:val="en-US" w:eastAsia="zh-CN"/>
        </w:rPr>
        <w:instrText xml:space="preserve"> REF _Ref118282045 \h  \* MERGEFORMAT </w:instrText>
      </w:r>
      <w:r w:rsidRPr="0043744D">
        <w:rPr>
          <w:rFonts w:cs="v4.2.0"/>
          <w:b/>
          <w:bCs/>
          <w:lang w:val="en-US" w:eastAsia="zh-CN"/>
        </w:rPr>
      </w:r>
      <w:r w:rsidRPr="0043744D">
        <w:rPr>
          <w:rFonts w:cs="v4.2.0"/>
          <w:b/>
          <w:bCs/>
          <w:lang w:val="en-US" w:eastAsia="zh-CN"/>
        </w:rPr>
        <w:fldChar w:fldCharType="separate"/>
      </w:r>
      <w:r w:rsidRPr="0043744D">
        <w:rPr>
          <w:b/>
          <w:bCs/>
        </w:rPr>
        <w:t xml:space="preserve">Proposal </w:t>
      </w:r>
      <w:r w:rsidRPr="0043744D">
        <w:rPr>
          <w:b/>
          <w:bCs/>
          <w:noProof/>
        </w:rPr>
        <w:t>1</w:t>
      </w:r>
      <w:r w:rsidRPr="0043744D">
        <w:rPr>
          <w:rFonts w:hint="eastAsia"/>
          <w:b/>
          <w:bCs/>
          <w:lang w:eastAsia="zh-CN"/>
        </w:rPr>
        <w:t>:</w:t>
      </w:r>
      <w:r w:rsidRPr="0043744D">
        <w:rPr>
          <w:b/>
          <w:bCs/>
          <w:lang w:eastAsia="zh-CN"/>
        </w:rPr>
        <w:t xml:space="preserve"> </w:t>
      </w:r>
      <w:r w:rsidRPr="00A21DCB">
        <w:rPr>
          <w:rFonts w:cs="v4.2.0"/>
          <w:b/>
          <w:bCs/>
          <w:lang w:val="en-US" w:eastAsia="zh-CN"/>
        </w:rPr>
        <w:t>when NCSG collides with a</w:t>
      </w:r>
      <w:r w:rsidRPr="0043744D">
        <w:rPr>
          <w:rFonts w:cs="v4.2.0"/>
          <w:b/>
          <w:bCs/>
          <w:lang w:val="en-US" w:eastAsia="zh-CN"/>
        </w:rPr>
        <w:t>nother gap</w:t>
      </w:r>
      <w:r w:rsidRPr="00A21DCB">
        <w:rPr>
          <w:rFonts w:cs="v4.2.0"/>
          <w:b/>
          <w:bCs/>
          <w:lang w:val="en-US" w:eastAsia="zh-CN"/>
        </w:rPr>
        <w:t xml:space="preserve">, either NCSG or the </w:t>
      </w:r>
      <w:r w:rsidRPr="0043744D">
        <w:rPr>
          <w:rFonts w:cs="v4.2.0"/>
          <w:b/>
          <w:bCs/>
          <w:lang w:val="en-US" w:eastAsia="zh-CN"/>
        </w:rPr>
        <w:t xml:space="preserve">other gap </w:t>
      </w:r>
      <w:r w:rsidRPr="00A21DCB">
        <w:rPr>
          <w:rFonts w:cs="v4.2.0"/>
          <w:b/>
          <w:bCs/>
          <w:lang w:val="en-US" w:eastAsia="zh-CN"/>
        </w:rPr>
        <w:t xml:space="preserve">shall be dropped. UE is not expected to perform measurement simultaneously in the NCSG and </w:t>
      </w:r>
      <w:r w:rsidRPr="0043744D">
        <w:rPr>
          <w:rFonts w:cs="v4.2.0"/>
          <w:b/>
          <w:bCs/>
          <w:lang w:val="en-US" w:eastAsia="zh-CN"/>
        </w:rPr>
        <w:t>the other gap.</w:t>
      </w:r>
      <w:r w:rsidRPr="0043744D">
        <w:rPr>
          <w:rFonts w:cs="v4.2.0"/>
          <w:b/>
          <w:bCs/>
          <w:lang w:val="en-US" w:eastAsia="zh-CN"/>
        </w:rPr>
        <w:fldChar w:fldCharType="end"/>
      </w:r>
    </w:p>
    <w:p w14:paraId="34F5D587" w14:textId="1D4A40D7" w:rsidR="0043744D" w:rsidRPr="0043744D" w:rsidRDefault="0043744D" w:rsidP="000D3027">
      <w:pPr>
        <w:jc w:val="both"/>
        <w:rPr>
          <w:rFonts w:cs="v4.2.0"/>
          <w:b/>
          <w:bCs/>
          <w:lang w:val="en-US" w:eastAsia="zh-CN"/>
        </w:rPr>
      </w:pPr>
      <w:r w:rsidRPr="0043744D">
        <w:rPr>
          <w:rFonts w:cs="v4.2.0"/>
          <w:b/>
          <w:bCs/>
          <w:lang w:val="en-US" w:eastAsia="zh-CN"/>
        </w:rPr>
        <w:fldChar w:fldCharType="begin"/>
      </w:r>
      <w:r w:rsidRPr="0043744D">
        <w:rPr>
          <w:rFonts w:cs="v4.2.0"/>
          <w:b/>
          <w:bCs/>
          <w:lang w:val="en-US" w:eastAsia="zh-CN"/>
        </w:rPr>
        <w:instrText xml:space="preserve"> REF _Ref118282032 \h  \* MERGEFORMAT </w:instrText>
      </w:r>
      <w:r w:rsidRPr="0043744D">
        <w:rPr>
          <w:rFonts w:cs="v4.2.0"/>
          <w:b/>
          <w:bCs/>
          <w:lang w:val="en-US" w:eastAsia="zh-CN"/>
        </w:rPr>
      </w:r>
      <w:r w:rsidRPr="0043744D">
        <w:rPr>
          <w:rFonts w:cs="v4.2.0"/>
          <w:b/>
          <w:bCs/>
          <w:lang w:val="en-US" w:eastAsia="zh-CN"/>
        </w:rPr>
        <w:fldChar w:fldCharType="separate"/>
      </w:r>
      <w:r w:rsidRPr="0043744D">
        <w:rPr>
          <w:b/>
          <w:bCs/>
        </w:rPr>
        <w:t xml:space="preserve">Observation </w:t>
      </w:r>
      <w:r w:rsidRPr="0043744D">
        <w:rPr>
          <w:b/>
          <w:bCs/>
          <w:noProof/>
        </w:rPr>
        <w:t>2</w:t>
      </w:r>
      <w:r w:rsidRPr="0043744D">
        <w:rPr>
          <w:b/>
          <w:bCs/>
        </w:rPr>
        <w:t>: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w:t>
      </w:r>
      <w:r w:rsidRPr="0043744D">
        <w:rPr>
          <w:rFonts w:cs="v4.2.0"/>
          <w:b/>
          <w:bCs/>
          <w:lang w:val="en-US" w:eastAsia="zh-CN"/>
        </w:rPr>
        <w:fldChar w:fldCharType="end"/>
      </w:r>
    </w:p>
    <w:p w14:paraId="553F86FF" w14:textId="44A632C7" w:rsidR="0043744D" w:rsidRPr="0043744D" w:rsidRDefault="0043744D" w:rsidP="000D3027">
      <w:pPr>
        <w:jc w:val="both"/>
        <w:rPr>
          <w:rFonts w:cs="v4.2.0"/>
          <w:b/>
          <w:bCs/>
          <w:lang w:val="en-US" w:eastAsia="zh-CN"/>
        </w:rPr>
      </w:pPr>
      <w:r w:rsidRPr="0043744D">
        <w:rPr>
          <w:rFonts w:cs="v4.2.0"/>
          <w:b/>
          <w:bCs/>
          <w:lang w:val="en-US" w:eastAsia="zh-CN"/>
        </w:rPr>
        <w:fldChar w:fldCharType="begin"/>
      </w:r>
      <w:r w:rsidRPr="0043744D">
        <w:rPr>
          <w:rFonts w:cs="v4.2.0"/>
          <w:b/>
          <w:bCs/>
          <w:lang w:val="en-US" w:eastAsia="zh-CN"/>
        </w:rPr>
        <w:instrText xml:space="preserve"> REF _Ref118282063 \h  \* MERGEFORMAT </w:instrText>
      </w:r>
      <w:r w:rsidRPr="0043744D">
        <w:rPr>
          <w:rFonts w:cs="v4.2.0"/>
          <w:b/>
          <w:bCs/>
          <w:lang w:val="en-US" w:eastAsia="zh-CN"/>
        </w:rPr>
      </w:r>
      <w:r w:rsidRPr="0043744D">
        <w:rPr>
          <w:rFonts w:cs="v4.2.0"/>
          <w:b/>
          <w:bCs/>
          <w:lang w:val="en-US" w:eastAsia="zh-CN"/>
        </w:rPr>
        <w:fldChar w:fldCharType="separate"/>
      </w:r>
      <w:r w:rsidRPr="0043744D">
        <w:rPr>
          <w:b/>
          <w:bCs/>
        </w:rPr>
        <w:t xml:space="preserve">Proposal </w:t>
      </w:r>
      <w:r w:rsidRPr="0043744D">
        <w:rPr>
          <w:b/>
          <w:bCs/>
          <w:noProof/>
        </w:rPr>
        <w:t>2</w:t>
      </w:r>
      <w:r w:rsidRPr="0043744D">
        <w:rPr>
          <w:b/>
          <w:bCs/>
        </w:rPr>
        <w:t xml:space="preserve">: </w:t>
      </w:r>
      <w:r w:rsidRPr="00A21DCB">
        <w:rPr>
          <w:b/>
          <w:bCs/>
          <w:lang w:val="en-US"/>
        </w:rPr>
        <w:t>a new indication shall be introduced enable support of NCSG for deactivated SCell only</w:t>
      </w:r>
      <w:r w:rsidRPr="0043744D">
        <w:rPr>
          <w:b/>
          <w:bCs/>
          <w:lang w:val="en-US"/>
        </w:rPr>
        <w:t xml:space="preserve">. If this is agreeable, RAN4 can further discuss the potential changes to gap association as captured in issue 2-22 in thread [104-bis-e][222] NR_Mob_enh2_part1, e.g. how to handle </w:t>
      </w:r>
      <w:r w:rsidRPr="0043744D">
        <w:rPr>
          <w:rFonts w:eastAsia="PMingLiU"/>
          <w:b/>
          <w:bCs/>
          <w:szCs w:val="24"/>
          <w:lang w:eastAsia="zh-TW"/>
        </w:rPr>
        <w:t>MO requires MG when SCell is activated.</w:t>
      </w:r>
      <w:r w:rsidRPr="0043744D">
        <w:rPr>
          <w:rFonts w:cs="v4.2.0"/>
          <w:b/>
          <w:bCs/>
          <w:lang w:val="en-US" w:eastAsia="zh-CN"/>
        </w:rPr>
        <w:fldChar w:fldCharType="end"/>
      </w:r>
    </w:p>
    <w:p w14:paraId="0368B12E" w14:textId="36F6CF64" w:rsidR="0043744D" w:rsidRPr="0043744D" w:rsidRDefault="0043744D" w:rsidP="000D3027">
      <w:pPr>
        <w:jc w:val="both"/>
        <w:rPr>
          <w:rFonts w:cs="v4.2.0"/>
          <w:b/>
          <w:bCs/>
          <w:lang w:val="en-US" w:eastAsia="zh-CN"/>
        </w:rPr>
      </w:pPr>
      <w:r w:rsidRPr="0043744D">
        <w:rPr>
          <w:rFonts w:cs="v4.2.0"/>
          <w:b/>
          <w:bCs/>
          <w:lang w:val="en-US" w:eastAsia="zh-CN"/>
        </w:rPr>
        <w:fldChar w:fldCharType="begin"/>
      </w:r>
      <w:r w:rsidRPr="0043744D">
        <w:rPr>
          <w:rFonts w:cs="v4.2.0"/>
          <w:b/>
          <w:bCs/>
          <w:lang w:val="en-US" w:eastAsia="zh-CN"/>
        </w:rPr>
        <w:instrText xml:space="preserve"> REF _Ref118282066 \h  \* MERGEFORMAT </w:instrText>
      </w:r>
      <w:r w:rsidRPr="0043744D">
        <w:rPr>
          <w:rFonts w:cs="v4.2.0"/>
          <w:b/>
          <w:bCs/>
          <w:lang w:val="en-US" w:eastAsia="zh-CN"/>
        </w:rPr>
      </w:r>
      <w:r w:rsidRPr="0043744D">
        <w:rPr>
          <w:rFonts w:cs="v4.2.0"/>
          <w:b/>
          <w:bCs/>
          <w:lang w:val="en-US" w:eastAsia="zh-CN"/>
        </w:rPr>
        <w:fldChar w:fldCharType="separate"/>
      </w:r>
      <w:r w:rsidRPr="0043744D">
        <w:rPr>
          <w:b/>
          <w:bCs/>
        </w:rPr>
        <w:t xml:space="preserve">Proposal </w:t>
      </w:r>
      <w:r w:rsidRPr="0043744D">
        <w:rPr>
          <w:b/>
          <w:bCs/>
          <w:noProof/>
        </w:rPr>
        <w:t>3</w:t>
      </w:r>
      <w:r w:rsidRPr="0043744D">
        <w:rPr>
          <w:b/>
          <w:bCs/>
        </w:rPr>
        <w:t xml:space="preserve">: </w:t>
      </w:r>
      <w:r w:rsidRPr="0043744D">
        <w:rPr>
          <w:rFonts w:eastAsia="PMingLiU"/>
          <w:b/>
          <w:bCs/>
          <w:szCs w:val="24"/>
          <w:lang w:eastAsia="zh-TW"/>
        </w:rPr>
        <w:t>The measurement requirements for Rel-17 concurrent MG will be applicable to gap combinations that include NCSG(s) (Case 2). For NR SSB-based measurements performed within NCSG, a scaling factor Kgap needs to be added to account for collisions with other measurement gaps.</w:t>
      </w:r>
      <w:r w:rsidRPr="0043744D">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lastRenderedPageBreak/>
        <w:t>References</w:t>
      </w:r>
    </w:p>
    <w:p w14:paraId="3FB5C910" w14:textId="3F65624D" w:rsidR="00647981" w:rsidRPr="00171398" w:rsidRDefault="00C1738F" w:rsidP="00171398">
      <w:pPr>
        <w:pStyle w:val="Reference"/>
        <w:keepLines/>
        <w:numPr>
          <w:ilvl w:val="0"/>
          <w:numId w:val="12"/>
        </w:numPr>
        <w:rPr>
          <w:lang w:val="en-CN"/>
        </w:rPr>
      </w:pPr>
      <w:r w:rsidRPr="00C1738F">
        <w:rPr>
          <w:lang w:val="en-CN"/>
        </w:rPr>
        <w:t>R4</w:t>
      </w:r>
      <w:r w:rsidR="00D972D0">
        <w:rPr>
          <w:lang w:val="en-CN"/>
        </w:rPr>
        <w:t>-</w:t>
      </w:r>
      <w:r w:rsidR="00D972D0" w:rsidRPr="00D972D0">
        <w:t>2217251</w:t>
      </w:r>
      <w:r w:rsidR="00D972D0">
        <w:rPr>
          <w:lang w:val="en-US" w:eastAsia="zh-CN"/>
        </w:rPr>
        <w:t xml:space="preserve">, </w:t>
      </w:r>
      <w:r w:rsidR="00D972D0" w:rsidRPr="00D972D0">
        <w:rPr>
          <w:bCs/>
          <w:lang w:eastAsia="zh-CN"/>
        </w:rPr>
        <w:t>WF on further enhancements on measurement gaps and measurements without gaps</w:t>
      </w:r>
      <w:r w:rsidR="00D972D0">
        <w:rPr>
          <w:bCs/>
          <w:lang w:eastAsia="zh-CN"/>
        </w:rPr>
        <w:t xml:space="preserve">, </w:t>
      </w:r>
      <w:r w:rsidR="00D972D0" w:rsidRPr="00D972D0">
        <w:rPr>
          <w:bCs/>
          <w:lang w:eastAsia="zh-CN"/>
        </w:rPr>
        <w:t>MediaTek inc.</w:t>
      </w:r>
    </w:p>
    <w:sectPr w:rsidR="00647981" w:rsidRPr="00171398"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09231" w14:textId="77777777" w:rsidR="000A4066" w:rsidRDefault="000A4066">
      <w:pPr>
        <w:spacing w:after="0"/>
      </w:pPr>
      <w:r>
        <w:separator/>
      </w:r>
    </w:p>
  </w:endnote>
  <w:endnote w:type="continuationSeparator" w:id="0">
    <w:p w14:paraId="347D178F" w14:textId="77777777" w:rsidR="000A4066" w:rsidRDefault="000A4066">
      <w:pPr>
        <w:spacing w:after="0"/>
      </w:pPr>
      <w:r>
        <w:continuationSeparator/>
      </w:r>
    </w:p>
  </w:endnote>
  <w:endnote w:type="continuationNotice" w:id="1">
    <w:p w14:paraId="4269FE73" w14:textId="77777777" w:rsidR="000A4066" w:rsidRDefault="000A40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596A4" w14:textId="77777777" w:rsidR="000A4066" w:rsidRDefault="000A4066">
      <w:pPr>
        <w:spacing w:after="0"/>
      </w:pPr>
      <w:r>
        <w:separator/>
      </w:r>
    </w:p>
  </w:footnote>
  <w:footnote w:type="continuationSeparator" w:id="0">
    <w:p w14:paraId="41FBFB5B" w14:textId="77777777" w:rsidR="000A4066" w:rsidRDefault="000A4066">
      <w:pPr>
        <w:spacing w:after="0"/>
      </w:pPr>
      <w:r>
        <w:continuationSeparator/>
      </w:r>
    </w:p>
  </w:footnote>
  <w:footnote w:type="continuationNotice" w:id="1">
    <w:p w14:paraId="7B7209D9" w14:textId="77777777" w:rsidR="000A4066" w:rsidRDefault="000A40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2"/>
  </w:num>
  <w:num w:numId="5" w16cid:durableId="648827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3"/>
  </w:num>
  <w:num w:numId="8" w16cid:durableId="1925916492">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7"/>
  </w:num>
  <w:num w:numId="11" w16cid:durableId="115023289">
    <w:abstractNumId w:val="30"/>
  </w:num>
  <w:num w:numId="12" w16cid:durableId="1175027039">
    <w:abstractNumId w:val="17"/>
  </w:num>
  <w:num w:numId="13" w16cid:durableId="665591870">
    <w:abstractNumId w:val="1"/>
  </w:num>
  <w:num w:numId="14" w16cid:durableId="1820999206">
    <w:abstractNumId w:val="21"/>
  </w:num>
  <w:num w:numId="15" w16cid:durableId="27068971">
    <w:abstractNumId w:val="10"/>
  </w:num>
  <w:num w:numId="16" w16cid:durableId="1673684540">
    <w:abstractNumId w:val="15"/>
  </w:num>
  <w:num w:numId="17" w16cid:durableId="689647860">
    <w:abstractNumId w:val="3"/>
  </w:num>
  <w:num w:numId="18" w16cid:durableId="836766221">
    <w:abstractNumId w:val="9"/>
  </w:num>
  <w:num w:numId="19" w16cid:durableId="2067408291">
    <w:abstractNumId w:val="27"/>
  </w:num>
  <w:num w:numId="20" w16cid:durableId="648173420">
    <w:abstractNumId w:val="19"/>
  </w:num>
  <w:num w:numId="21" w16cid:durableId="864829629">
    <w:abstractNumId w:val="22"/>
  </w:num>
  <w:num w:numId="22" w16cid:durableId="2002073984">
    <w:abstractNumId w:val="24"/>
  </w:num>
  <w:num w:numId="23" w16cid:durableId="1372269391">
    <w:abstractNumId w:val="2"/>
  </w:num>
  <w:num w:numId="24" w16cid:durableId="86540056">
    <w:abstractNumId w:val="18"/>
  </w:num>
  <w:num w:numId="25" w16cid:durableId="1848398925">
    <w:abstractNumId w:val="0"/>
  </w:num>
  <w:num w:numId="26" w16cid:durableId="268200992">
    <w:abstractNumId w:val="26"/>
  </w:num>
  <w:num w:numId="27" w16cid:durableId="1199899444">
    <w:abstractNumId w:val="5"/>
  </w:num>
  <w:num w:numId="28" w16cid:durableId="2124037151">
    <w:abstractNumId w:val="20"/>
  </w:num>
  <w:num w:numId="29" w16cid:durableId="1176505110">
    <w:abstractNumId w:val="28"/>
  </w:num>
  <w:num w:numId="30" w16cid:durableId="1879048688">
    <w:abstractNumId w:val="16"/>
  </w:num>
  <w:num w:numId="31" w16cid:durableId="1398741903">
    <w:abstractNumId w:val="8"/>
  </w:num>
  <w:num w:numId="32" w16cid:durableId="1789276309">
    <w:abstractNumId w:val="14"/>
  </w:num>
  <w:num w:numId="33" w16cid:durableId="193614665">
    <w:abstractNumId w:val="31"/>
  </w:num>
  <w:num w:numId="34" w16cid:durableId="23554501">
    <w:abstractNumId w:val="12"/>
  </w:num>
  <w:num w:numId="35" w16cid:durableId="57362482">
    <w:abstractNumId w:val="25"/>
  </w:num>
  <w:num w:numId="36" w16cid:durableId="747653175">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597B"/>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AEC"/>
    <w:rsid w:val="00080CB3"/>
    <w:rsid w:val="00080CD6"/>
    <w:rsid w:val="00081275"/>
    <w:rsid w:val="00081E65"/>
    <w:rsid w:val="00082038"/>
    <w:rsid w:val="00082D9A"/>
    <w:rsid w:val="00083194"/>
    <w:rsid w:val="00083331"/>
    <w:rsid w:val="00083811"/>
    <w:rsid w:val="00083C45"/>
    <w:rsid w:val="000846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6"/>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17E"/>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31AA"/>
    <w:rsid w:val="001A31D4"/>
    <w:rsid w:val="001A45C5"/>
    <w:rsid w:val="001A47EE"/>
    <w:rsid w:val="001A4905"/>
    <w:rsid w:val="001A4C19"/>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2FF"/>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A5D"/>
    <w:rsid w:val="001E0BF5"/>
    <w:rsid w:val="001E112D"/>
    <w:rsid w:val="001E138E"/>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097B"/>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B719A"/>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75F"/>
    <w:rsid w:val="002C6882"/>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28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30749"/>
    <w:rsid w:val="0033083F"/>
    <w:rsid w:val="00331EDB"/>
    <w:rsid w:val="0033270C"/>
    <w:rsid w:val="0033291A"/>
    <w:rsid w:val="00332A60"/>
    <w:rsid w:val="00333158"/>
    <w:rsid w:val="0033334F"/>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91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5FA"/>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01"/>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6DF"/>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18AC"/>
    <w:rsid w:val="006A2C54"/>
    <w:rsid w:val="006A3156"/>
    <w:rsid w:val="006A41A8"/>
    <w:rsid w:val="006A48AC"/>
    <w:rsid w:val="006A4A7F"/>
    <w:rsid w:val="006A4B87"/>
    <w:rsid w:val="006A5575"/>
    <w:rsid w:val="006A5884"/>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628"/>
    <w:rsid w:val="00743D37"/>
    <w:rsid w:val="0074402B"/>
    <w:rsid w:val="00744C1F"/>
    <w:rsid w:val="007456A3"/>
    <w:rsid w:val="00745705"/>
    <w:rsid w:val="007465BA"/>
    <w:rsid w:val="00747668"/>
    <w:rsid w:val="007504E2"/>
    <w:rsid w:val="00750FEE"/>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40"/>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84D"/>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2DF"/>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DCB"/>
    <w:rsid w:val="00A21F09"/>
    <w:rsid w:val="00A2370D"/>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5E9"/>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3878"/>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1CF1"/>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D7888"/>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09"/>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4F1"/>
    <w:rsid w:val="00C674FA"/>
    <w:rsid w:val="00C675D9"/>
    <w:rsid w:val="00C67B6F"/>
    <w:rsid w:val="00C708AB"/>
    <w:rsid w:val="00C70C2A"/>
    <w:rsid w:val="00C70DE2"/>
    <w:rsid w:val="00C71854"/>
    <w:rsid w:val="00C72A48"/>
    <w:rsid w:val="00C72CCA"/>
    <w:rsid w:val="00C72F4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3D58"/>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01E"/>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2E59"/>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A13"/>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BEB"/>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8A3"/>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F53"/>
    <w:rsid w:val="00FE512B"/>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3458</TotalTime>
  <Pages>6</Pages>
  <Words>1858</Words>
  <Characters>10596</Characters>
  <Application>Microsoft Office Word</Application>
  <DocSecurity>0</DocSecurity>
  <Lines>88</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1954</cp:revision>
  <cp:lastPrinted>2016-08-05T18:54:00Z</cp:lastPrinted>
  <dcterms:created xsi:type="dcterms:W3CDTF">2020-08-03T20:20:00Z</dcterms:created>
  <dcterms:modified xsi:type="dcterms:W3CDTF">2022-11-07T09:08:00Z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